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016CF" w14:textId="77777777" w:rsidR="00C63036" w:rsidRPr="003F62E1" w:rsidRDefault="00C63036" w:rsidP="00E02087">
      <w:pPr>
        <w:pStyle w:val="BodyCopy"/>
        <w:rPr>
          <w:lang w:val="cs-CZ"/>
        </w:rPr>
      </w:pPr>
    </w:p>
    <w:p w14:paraId="3A2865BE" w14:textId="77777777" w:rsidR="00A8073E" w:rsidRDefault="006E2DE9" w:rsidP="006E2DE9">
      <w:pPr>
        <w:pStyle w:val="BodyCopy"/>
        <w:jc w:val="center"/>
        <w:rPr>
          <w:b/>
          <w:sz w:val="28"/>
          <w:szCs w:val="28"/>
          <w:lang w:val="cs-CZ"/>
        </w:rPr>
      </w:pPr>
      <w:bookmarkStart w:id="0" w:name="_Hlk104378085"/>
      <w:r>
        <w:rPr>
          <w:b/>
          <w:sz w:val="28"/>
          <w:szCs w:val="28"/>
          <w:lang w:val="cs-CZ"/>
        </w:rPr>
        <w:t>CBRE:</w:t>
      </w:r>
      <w:r w:rsidRPr="006E2DE9">
        <w:rPr>
          <w:b/>
          <w:sz w:val="28"/>
          <w:szCs w:val="28"/>
          <w:lang w:val="cs-CZ"/>
        </w:rPr>
        <w:t xml:space="preserve"> Jak se inflace promít</w:t>
      </w:r>
      <w:r w:rsidR="00024C18">
        <w:rPr>
          <w:b/>
          <w:sz w:val="28"/>
          <w:szCs w:val="28"/>
          <w:lang w:val="cs-CZ"/>
        </w:rPr>
        <w:t>á</w:t>
      </w:r>
      <w:r w:rsidRPr="006E2DE9">
        <w:rPr>
          <w:b/>
          <w:sz w:val="28"/>
          <w:szCs w:val="28"/>
          <w:lang w:val="cs-CZ"/>
        </w:rPr>
        <w:t xml:space="preserve"> do ceny komerčních </w:t>
      </w:r>
      <w:r>
        <w:rPr>
          <w:b/>
          <w:sz w:val="28"/>
          <w:szCs w:val="28"/>
          <w:lang w:val="cs-CZ"/>
        </w:rPr>
        <w:t>realit</w:t>
      </w:r>
      <w:r w:rsidR="00A8073E">
        <w:rPr>
          <w:b/>
          <w:sz w:val="28"/>
          <w:szCs w:val="28"/>
          <w:lang w:val="cs-CZ"/>
        </w:rPr>
        <w:t> </w:t>
      </w:r>
    </w:p>
    <w:p w14:paraId="6BD2CB0B" w14:textId="153E4AC7" w:rsidR="00601627" w:rsidRDefault="006E2DE9" w:rsidP="006E2DE9">
      <w:pPr>
        <w:pStyle w:val="BodyCopy"/>
        <w:jc w:val="center"/>
        <w:rPr>
          <w:b/>
          <w:sz w:val="28"/>
          <w:szCs w:val="28"/>
          <w:lang w:val="cs-CZ"/>
        </w:rPr>
      </w:pPr>
      <w:r w:rsidRPr="006E2DE9">
        <w:rPr>
          <w:b/>
          <w:sz w:val="28"/>
          <w:szCs w:val="28"/>
          <w:lang w:val="cs-CZ"/>
        </w:rPr>
        <w:t xml:space="preserve">a jaký lze očekávat vývoj </w:t>
      </w:r>
      <w:r w:rsidR="00D70685">
        <w:rPr>
          <w:b/>
          <w:sz w:val="28"/>
          <w:szCs w:val="28"/>
          <w:lang w:val="cs-CZ"/>
        </w:rPr>
        <w:t>yieldů</w:t>
      </w:r>
      <w:r w:rsidRPr="006E2DE9">
        <w:rPr>
          <w:b/>
          <w:sz w:val="28"/>
          <w:szCs w:val="28"/>
          <w:lang w:val="cs-CZ"/>
        </w:rPr>
        <w:t>?</w:t>
      </w:r>
    </w:p>
    <w:p w14:paraId="232E39B2" w14:textId="77777777" w:rsidR="006E2DE9" w:rsidRPr="003F62E1" w:rsidRDefault="006E2DE9" w:rsidP="00E02087">
      <w:pPr>
        <w:pStyle w:val="BodyCopy"/>
        <w:rPr>
          <w:lang w:val="cs-CZ"/>
        </w:rPr>
      </w:pPr>
    </w:p>
    <w:bookmarkEnd w:id="0"/>
    <w:p w14:paraId="68977E43" w14:textId="29A05A5D" w:rsidR="006E2DE9" w:rsidRDefault="00BA3ACA" w:rsidP="00941EC4">
      <w:pPr>
        <w:pStyle w:val="BodyCopy"/>
        <w:jc w:val="both"/>
        <w:rPr>
          <w:lang w:val="cs-CZ"/>
        </w:rPr>
      </w:pPr>
      <w:r w:rsidRPr="00210ECA">
        <w:rPr>
          <w:b/>
          <w:bCs/>
          <w:lang w:val="cs-CZ"/>
        </w:rPr>
        <w:t>Praha</w:t>
      </w:r>
      <w:r w:rsidR="00E30CD4" w:rsidRPr="00210ECA">
        <w:rPr>
          <w:b/>
          <w:bCs/>
          <w:lang w:val="cs-CZ"/>
        </w:rPr>
        <w:t xml:space="preserve"> </w:t>
      </w:r>
      <w:r w:rsidR="00C63036" w:rsidRPr="00210ECA">
        <w:rPr>
          <w:b/>
          <w:bCs/>
          <w:lang w:val="cs-CZ"/>
        </w:rPr>
        <w:t>–</w:t>
      </w:r>
      <w:r w:rsidR="00E30CD4" w:rsidRPr="00210ECA">
        <w:rPr>
          <w:b/>
          <w:bCs/>
          <w:lang w:val="cs-CZ"/>
        </w:rPr>
        <w:t xml:space="preserve"> </w:t>
      </w:r>
      <w:r w:rsidR="00116632">
        <w:rPr>
          <w:b/>
          <w:bCs/>
          <w:lang w:val="cs-CZ"/>
        </w:rPr>
        <w:t>8</w:t>
      </w:r>
      <w:r w:rsidR="006E47D4">
        <w:rPr>
          <w:b/>
          <w:bCs/>
          <w:lang w:val="cs-CZ"/>
        </w:rPr>
        <w:t>. září</w:t>
      </w:r>
      <w:r w:rsidR="00E30CD4" w:rsidRPr="00210ECA">
        <w:rPr>
          <w:b/>
          <w:bCs/>
          <w:lang w:val="cs-CZ"/>
        </w:rPr>
        <w:t xml:space="preserve"> </w:t>
      </w:r>
      <w:r w:rsidR="00E53CA1" w:rsidRPr="00210ECA">
        <w:rPr>
          <w:b/>
          <w:bCs/>
          <w:lang w:val="cs-CZ"/>
        </w:rPr>
        <w:t>202</w:t>
      </w:r>
      <w:r w:rsidR="003F62E1" w:rsidRPr="00210ECA">
        <w:rPr>
          <w:b/>
          <w:bCs/>
          <w:lang w:val="cs-CZ"/>
        </w:rPr>
        <w:t>2</w:t>
      </w:r>
      <w:r w:rsidR="00E30CD4" w:rsidRPr="00210ECA">
        <w:rPr>
          <w:b/>
          <w:bCs/>
          <w:lang w:val="cs-CZ"/>
        </w:rPr>
        <w:t xml:space="preserve"> </w:t>
      </w:r>
      <w:r w:rsidR="00C63036" w:rsidRPr="00210ECA">
        <w:rPr>
          <w:lang w:val="cs-CZ"/>
        </w:rPr>
        <w:t>–</w:t>
      </w:r>
      <w:r w:rsidR="003F62E1" w:rsidRPr="00210ECA">
        <w:rPr>
          <w:lang w:val="cs-CZ"/>
        </w:rPr>
        <w:t xml:space="preserve"> </w:t>
      </w:r>
      <w:r w:rsidR="006E2DE9" w:rsidRPr="006E2DE9">
        <w:rPr>
          <w:lang w:val="cs-CZ"/>
        </w:rPr>
        <w:t xml:space="preserve">Investice do nemovitostí </w:t>
      </w:r>
      <w:r w:rsidR="00AD762C">
        <w:rPr>
          <w:lang w:val="cs-CZ"/>
        </w:rPr>
        <w:t>(nebo takzvaně real-assets)</w:t>
      </w:r>
      <w:r w:rsidR="00DC567A">
        <w:rPr>
          <w:lang w:val="cs-CZ"/>
        </w:rPr>
        <w:t xml:space="preserve"> </w:t>
      </w:r>
      <w:r w:rsidR="006E2DE9" w:rsidRPr="006E2DE9">
        <w:rPr>
          <w:lang w:val="cs-CZ"/>
        </w:rPr>
        <w:t>jsou oproti jiným druhům aktiv považovány za</w:t>
      </w:r>
      <w:r w:rsidR="003B6EE0">
        <w:rPr>
          <w:lang w:val="cs-CZ"/>
        </w:rPr>
        <w:t> </w:t>
      </w:r>
      <w:r w:rsidR="006E2DE9" w:rsidRPr="006E2DE9">
        <w:rPr>
          <w:lang w:val="cs-CZ"/>
        </w:rPr>
        <w:t xml:space="preserve">unikátní, protože generují dva druhy </w:t>
      </w:r>
      <w:r w:rsidR="000B4266">
        <w:rPr>
          <w:lang w:val="cs-CZ"/>
        </w:rPr>
        <w:t>příjmů</w:t>
      </w:r>
      <w:r w:rsidR="006E2DE9" w:rsidRPr="006E2DE9">
        <w:rPr>
          <w:lang w:val="cs-CZ"/>
        </w:rPr>
        <w:t>. Jednak přinášejí tržby z pronájmů, ale současně se</w:t>
      </w:r>
      <w:r w:rsidR="003B6EE0">
        <w:rPr>
          <w:lang w:val="cs-CZ"/>
        </w:rPr>
        <w:t> </w:t>
      </w:r>
      <w:r w:rsidR="006E2DE9" w:rsidRPr="006E2DE9">
        <w:rPr>
          <w:lang w:val="cs-CZ"/>
        </w:rPr>
        <w:t xml:space="preserve">zhodnocují </w:t>
      </w:r>
      <w:r w:rsidR="00A25D92">
        <w:rPr>
          <w:lang w:val="cs-CZ"/>
        </w:rPr>
        <w:t xml:space="preserve">i </w:t>
      </w:r>
      <w:r w:rsidR="006E2DE9" w:rsidRPr="006E2DE9">
        <w:rPr>
          <w:lang w:val="cs-CZ"/>
        </w:rPr>
        <w:t>v čase. Aktuálně</w:t>
      </w:r>
      <w:r w:rsidR="0030757F">
        <w:rPr>
          <w:lang w:val="cs-CZ"/>
        </w:rPr>
        <w:t xml:space="preserve"> však</w:t>
      </w:r>
      <w:r w:rsidR="006E2DE9" w:rsidRPr="006E2DE9">
        <w:rPr>
          <w:lang w:val="cs-CZ"/>
        </w:rPr>
        <w:t xml:space="preserve"> do těchto proměnných stále významněji vstupuje rostoucí inflace, která se pohybuje nejvýš od poslední finanční krize. Jaký vliv</w:t>
      </w:r>
      <w:r w:rsidR="005E7E7D">
        <w:rPr>
          <w:lang w:val="cs-CZ"/>
        </w:rPr>
        <w:t xml:space="preserve"> má na ceny komerčních realit a </w:t>
      </w:r>
      <w:r w:rsidR="006E2DE9" w:rsidRPr="006E2DE9">
        <w:rPr>
          <w:lang w:val="cs-CZ"/>
        </w:rPr>
        <w:t xml:space="preserve">jejich </w:t>
      </w:r>
      <w:r w:rsidR="00D70685">
        <w:rPr>
          <w:lang w:val="cs-CZ"/>
        </w:rPr>
        <w:t>návratnost</w:t>
      </w:r>
      <w:r w:rsidR="006E2DE9" w:rsidRPr="006E2DE9">
        <w:rPr>
          <w:lang w:val="cs-CZ"/>
        </w:rPr>
        <w:t xml:space="preserve">? A v čem je </w:t>
      </w:r>
      <w:r w:rsidR="00A25D92">
        <w:rPr>
          <w:lang w:val="cs-CZ"/>
        </w:rPr>
        <w:t>současná situace</w:t>
      </w:r>
      <w:r w:rsidR="006E2DE9" w:rsidRPr="006E2DE9">
        <w:rPr>
          <w:lang w:val="cs-CZ"/>
        </w:rPr>
        <w:t xml:space="preserve"> jiná oproti letům 2008/2009? Společnost CBRE, světový lídr v</w:t>
      </w:r>
      <w:r w:rsidR="009B0DCC">
        <w:rPr>
          <w:lang w:val="cs-CZ"/>
        </w:rPr>
        <w:t> </w:t>
      </w:r>
      <w:r w:rsidR="006E2DE9" w:rsidRPr="006E2DE9">
        <w:rPr>
          <w:lang w:val="cs-CZ"/>
        </w:rPr>
        <w:t>oblasti komerčních realitních služeb, při</w:t>
      </w:r>
      <w:r w:rsidR="00A25D92">
        <w:rPr>
          <w:lang w:val="cs-CZ"/>
        </w:rPr>
        <w:t xml:space="preserve">chází s vysvětlením v podobě </w:t>
      </w:r>
      <w:r w:rsidR="00605D70">
        <w:rPr>
          <w:lang w:val="cs-CZ"/>
        </w:rPr>
        <w:t>rozsáhlé</w:t>
      </w:r>
      <w:r w:rsidR="00A25D92">
        <w:rPr>
          <w:lang w:val="cs-CZ"/>
        </w:rPr>
        <w:t xml:space="preserve"> analýzy</w:t>
      </w:r>
      <w:r w:rsidR="00EC06B9">
        <w:rPr>
          <w:lang w:val="cs-CZ"/>
        </w:rPr>
        <w:t xml:space="preserve"> trhu</w:t>
      </w:r>
      <w:r w:rsidR="00A25D92">
        <w:rPr>
          <w:lang w:val="cs-CZ"/>
        </w:rPr>
        <w:t>.</w:t>
      </w:r>
    </w:p>
    <w:p w14:paraId="280391EF" w14:textId="77777777" w:rsidR="00D3587D" w:rsidRDefault="00D3587D" w:rsidP="00941EC4">
      <w:pPr>
        <w:pStyle w:val="BodyCopy"/>
        <w:jc w:val="both"/>
        <w:rPr>
          <w:lang w:val="cs-CZ"/>
        </w:rPr>
      </w:pPr>
    </w:p>
    <w:p w14:paraId="4A627786" w14:textId="66F31740" w:rsidR="00D3587D" w:rsidRPr="00A25D92" w:rsidRDefault="00D3587D" w:rsidP="00941EC4">
      <w:pPr>
        <w:pStyle w:val="BodyCopy"/>
        <w:jc w:val="both"/>
        <w:rPr>
          <w:lang w:val="cs-CZ"/>
        </w:rPr>
      </w:pPr>
      <w:r w:rsidRPr="006E2DE9">
        <w:rPr>
          <w:lang w:val="cs-CZ"/>
        </w:rPr>
        <w:t xml:space="preserve">Investice v České republice dosáhly v 1. pololetí letošního roku </w:t>
      </w:r>
      <w:r w:rsidR="00F62E08" w:rsidRPr="00E9138A">
        <w:rPr>
          <w:lang w:val="cs-CZ"/>
        </w:rPr>
        <w:t>1,1</w:t>
      </w:r>
      <w:r w:rsidRPr="00E9138A">
        <w:rPr>
          <w:lang w:val="cs-CZ"/>
        </w:rPr>
        <w:t xml:space="preserve">5 mld. </w:t>
      </w:r>
      <w:r w:rsidR="00F62E08" w:rsidRPr="00E9138A">
        <w:rPr>
          <w:lang w:val="cs-CZ"/>
        </w:rPr>
        <w:t>eur</w:t>
      </w:r>
      <w:r w:rsidRPr="00DC567A">
        <w:rPr>
          <w:lang w:val="cs-CZ"/>
        </w:rPr>
        <w:t xml:space="preserve">. CBRE </w:t>
      </w:r>
      <w:r w:rsidR="00A8073E" w:rsidRPr="006E47D4">
        <w:rPr>
          <w:lang w:val="cs-CZ"/>
        </w:rPr>
        <w:t>očekáv</w:t>
      </w:r>
      <w:r w:rsidR="009B0DCC" w:rsidRPr="006E47D4">
        <w:rPr>
          <w:lang w:val="cs-CZ"/>
        </w:rPr>
        <w:t>á</w:t>
      </w:r>
      <w:r w:rsidR="00A25D92" w:rsidRPr="00DC567A">
        <w:rPr>
          <w:lang w:val="cs-CZ"/>
        </w:rPr>
        <w:t xml:space="preserve">, že druhé </w:t>
      </w:r>
      <w:r w:rsidRPr="00DC567A">
        <w:rPr>
          <w:lang w:val="cs-CZ"/>
        </w:rPr>
        <w:t>pololetí</w:t>
      </w:r>
      <w:r w:rsidR="00A25D92" w:rsidRPr="00DC567A">
        <w:rPr>
          <w:lang w:val="cs-CZ"/>
        </w:rPr>
        <w:t xml:space="preserve"> </w:t>
      </w:r>
      <w:r w:rsidRPr="00DC567A">
        <w:rPr>
          <w:lang w:val="cs-CZ"/>
        </w:rPr>
        <w:t xml:space="preserve">bude zhruba stejně silné, takže investice </w:t>
      </w:r>
      <w:r w:rsidR="00605D70" w:rsidRPr="00DC567A">
        <w:rPr>
          <w:lang w:val="cs-CZ"/>
        </w:rPr>
        <w:t>budou</w:t>
      </w:r>
      <w:r w:rsidR="00A25D92" w:rsidRPr="00DC567A">
        <w:rPr>
          <w:lang w:val="cs-CZ"/>
        </w:rPr>
        <w:t xml:space="preserve"> ke konci roku </w:t>
      </w:r>
      <w:r w:rsidRPr="00DC567A">
        <w:rPr>
          <w:lang w:val="cs-CZ"/>
        </w:rPr>
        <w:t xml:space="preserve">atakovat hranici </w:t>
      </w:r>
      <w:r w:rsidR="00F62E08" w:rsidRPr="00E9138A">
        <w:rPr>
          <w:lang w:val="cs-CZ"/>
        </w:rPr>
        <w:t>2</w:t>
      </w:r>
      <w:r w:rsidR="00941EC4">
        <w:rPr>
          <w:lang w:val="cs-CZ"/>
        </w:rPr>
        <w:t xml:space="preserve"> mld., tedy o</w:t>
      </w:r>
      <w:r w:rsidR="00AF5D2C" w:rsidRPr="00DC567A">
        <w:rPr>
          <w:lang w:val="cs-CZ"/>
        </w:rPr>
        <w:t>bdobně jako loni nebo předloni</w:t>
      </w:r>
      <w:r w:rsidR="0029287C" w:rsidRPr="00DC567A">
        <w:rPr>
          <w:rStyle w:val="Znakapoznpodarou"/>
          <w:lang w:val="cs-CZ"/>
        </w:rPr>
        <w:footnoteReference w:id="1"/>
      </w:r>
      <w:r w:rsidR="00AF5D2C" w:rsidRPr="00DC567A">
        <w:rPr>
          <w:lang w:val="cs-CZ"/>
        </w:rPr>
        <w:t xml:space="preserve">. </w:t>
      </w:r>
      <w:r w:rsidRPr="00DC567A">
        <w:rPr>
          <w:lang w:val="cs-CZ"/>
        </w:rPr>
        <w:t>T</w:t>
      </w:r>
      <w:r w:rsidRPr="006E47D4">
        <w:rPr>
          <w:lang w:val="cs-CZ"/>
        </w:rPr>
        <w:t xml:space="preserve">rh má přitom </w:t>
      </w:r>
      <w:r w:rsidRPr="00DC567A">
        <w:rPr>
          <w:lang w:val="cs-CZ"/>
        </w:rPr>
        <w:t xml:space="preserve">potenciál na ještě větší výkonnost, </w:t>
      </w:r>
      <w:r w:rsidR="00AF5D2C" w:rsidRPr="00DC567A">
        <w:rPr>
          <w:lang w:val="cs-CZ"/>
        </w:rPr>
        <w:t xml:space="preserve">ale </w:t>
      </w:r>
      <w:r w:rsidRPr="00DC567A">
        <w:rPr>
          <w:lang w:val="cs-CZ"/>
        </w:rPr>
        <w:t>poptávku brzdí nedostatek nových</w:t>
      </w:r>
      <w:r w:rsidR="00E10A7B" w:rsidRPr="00DC567A">
        <w:rPr>
          <w:lang w:val="cs-CZ"/>
        </w:rPr>
        <w:t xml:space="preserve"> a kvalitních</w:t>
      </w:r>
      <w:r w:rsidRPr="00DC567A">
        <w:rPr>
          <w:lang w:val="cs-CZ"/>
        </w:rPr>
        <w:t xml:space="preserve"> produktů na trhu. </w:t>
      </w:r>
      <w:r w:rsidR="006E2DE9" w:rsidRPr="00DC567A">
        <w:rPr>
          <w:i/>
          <w:iCs/>
          <w:lang w:val="cs-CZ"/>
        </w:rPr>
        <w:t>„Investoři i nadále vnímají tuzemský trh jako vysoce kvalitní a</w:t>
      </w:r>
      <w:r w:rsidR="003B3945" w:rsidRPr="00DC567A">
        <w:rPr>
          <w:i/>
          <w:iCs/>
          <w:lang w:val="cs-CZ"/>
        </w:rPr>
        <w:t> </w:t>
      </w:r>
      <w:r w:rsidR="006E2DE9" w:rsidRPr="00DC567A">
        <w:rPr>
          <w:i/>
          <w:iCs/>
          <w:lang w:val="cs-CZ"/>
        </w:rPr>
        <w:t>nejvíce stabilizovaný v rámci regionu střední a východní Evropy. Pozitivně hodnotí zdejší právní a</w:t>
      </w:r>
      <w:r w:rsidR="003B3945" w:rsidRPr="00DC567A">
        <w:rPr>
          <w:i/>
          <w:iCs/>
          <w:lang w:val="cs-CZ"/>
        </w:rPr>
        <w:t> </w:t>
      </w:r>
      <w:r w:rsidR="006E2DE9" w:rsidRPr="00DC567A">
        <w:rPr>
          <w:i/>
          <w:iCs/>
          <w:lang w:val="cs-CZ"/>
        </w:rPr>
        <w:t>finanční prostředí, kvalitní a dostupnou pracovní sílu a také dosahované výnosy</w:t>
      </w:r>
      <w:r w:rsidR="00BA1D0C" w:rsidRPr="00DC567A">
        <w:rPr>
          <w:i/>
          <w:iCs/>
          <w:lang w:val="cs-CZ"/>
        </w:rPr>
        <w:t>.</w:t>
      </w:r>
      <w:r w:rsidR="005E7E7D">
        <w:rPr>
          <w:i/>
          <w:iCs/>
          <w:lang w:val="cs-CZ"/>
        </w:rPr>
        <w:t xml:space="preserve"> Ty jsou v závislosti na </w:t>
      </w:r>
      <w:r w:rsidR="006E2DE9" w:rsidRPr="00DC567A">
        <w:rPr>
          <w:i/>
          <w:iCs/>
          <w:lang w:val="cs-CZ"/>
        </w:rPr>
        <w:t xml:space="preserve">typu segmentu o </w:t>
      </w:r>
      <w:r w:rsidR="006E2DE9" w:rsidRPr="00E9138A">
        <w:rPr>
          <w:i/>
          <w:iCs/>
          <w:lang w:val="cs-CZ"/>
        </w:rPr>
        <w:t>50 až 150 bazických bodů vyšší</w:t>
      </w:r>
      <w:r w:rsidR="006E2DE9" w:rsidRPr="00DC567A">
        <w:rPr>
          <w:i/>
          <w:iCs/>
          <w:lang w:val="cs-CZ"/>
        </w:rPr>
        <w:t xml:space="preserve"> než v zemích západní Evropy</w:t>
      </w:r>
      <w:r w:rsidR="00575D00" w:rsidRPr="00DC567A">
        <w:rPr>
          <w:i/>
          <w:iCs/>
          <w:lang w:val="cs-CZ"/>
        </w:rPr>
        <w:t xml:space="preserve">,“ </w:t>
      </w:r>
      <w:r w:rsidR="00575D00" w:rsidRPr="00DC567A">
        <w:rPr>
          <w:lang w:val="cs-CZ"/>
        </w:rPr>
        <w:t>komentuje</w:t>
      </w:r>
      <w:r w:rsidR="00DC5363" w:rsidRPr="006E47D4">
        <w:rPr>
          <w:lang w:val="cs-CZ"/>
        </w:rPr>
        <w:t xml:space="preserve"> </w:t>
      </w:r>
      <w:r w:rsidR="00DC567A" w:rsidRPr="00D82370">
        <w:rPr>
          <w:b/>
          <w:bCs/>
          <w:lang w:val="cs-CZ"/>
        </w:rPr>
        <w:t xml:space="preserve">Jakub Stanislav, Director </w:t>
      </w:r>
      <w:r w:rsidR="00DC567A">
        <w:rPr>
          <w:b/>
          <w:bCs/>
          <w:lang w:val="cs-CZ"/>
        </w:rPr>
        <w:t xml:space="preserve">v </w:t>
      </w:r>
      <w:r w:rsidR="00DC567A" w:rsidRPr="00D82370">
        <w:rPr>
          <w:b/>
          <w:bCs/>
          <w:lang w:val="cs-CZ"/>
        </w:rPr>
        <w:t>oddělení investic realitně-poradenské společnosti CBRE</w:t>
      </w:r>
      <w:r w:rsidR="00DC567A">
        <w:rPr>
          <w:b/>
          <w:bCs/>
          <w:lang w:val="cs-CZ"/>
        </w:rPr>
        <w:t>.</w:t>
      </w:r>
      <w:r w:rsidR="006E2DE9" w:rsidRPr="006E2DE9">
        <w:rPr>
          <w:lang w:val="cs-CZ"/>
        </w:rPr>
        <w:t xml:space="preserve"> </w:t>
      </w:r>
    </w:p>
    <w:p w14:paraId="2A3371D2" w14:textId="3FC9E516" w:rsidR="048F3AEA" w:rsidRDefault="048F3AEA" w:rsidP="00941EC4">
      <w:pPr>
        <w:pStyle w:val="BodyCopy"/>
        <w:jc w:val="both"/>
        <w:rPr>
          <w:lang w:val="cs-CZ"/>
        </w:rPr>
      </w:pPr>
    </w:p>
    <w:p w14:paraId="33FC799D" w14:textId="5843AD15" w:rsidR="00D3587D" w:rsidRPr="006E2DE9" w:rsidRDefault="00D3587D" w:rsidP="00941EC4">
      <w:pPr>
        <w:pStyle w:val="BodyCopy"/>
        <w:jc w:val="both"/>
        <w:rPr>
          <w:b/>
          <w:lang w:val="cs-CZ"/>
        </w:rPr>
      </w:pPr>
      <w:r w:rsidRPr="006E2DE9">
        <w:rPr>
          <w:b/>
          <w:lang w:val="cs-CZ"/>
        </w:rPr>
        <w:t xml:space="preserve">Ceny nemovitostí dosáhly svého maxima, nicméně nebudou </w:t>
      </w:r>
      <w:r w:rsidR="00B42347">
        <w:rPr>
          <w:b/>
          <w:lang w:val="cs-CZ"/>
        </w:rPr>
        <w:t xml:space="preserve">výrazně </w:t>
      </w:r>
      <w:r w:rsidRPr="006E2DE9">
        <w:rPr>
          <w:b/>
          <w:lang w:val="cs-CZ"/>
        </w:rPr>
        <w:t>zlevňovat</w:t>
      </w:r>
    </w:p>
    <w:p w14:paraId="77D24A1B" w14:textId="7B52A1D7" w:rsidR="00D3587D" w:rsidRPr="006E2DE9" w:rsidRDefault="00E64C47" w:rsidP="00941EC4">
      <w:pPr>
        <w:jc w:val="both"/>
        <w:rPr>
          <w:lang w:val="cs-CZ"/>
        </w:rPr>
      </w:pPr>
      <w:r w:rsidRPr="7C0B2130">
        <w:rPr>
          <w:color w:val="425254" w:themeColor="text1"/>
          <w:lang w:val="cs-CZ"/>
        </w:rPr>
        <w:t>Pozitivní zprávou je, že s</w:t>
      </w:r>
      <w:r w:rsidR="009A13C8" w:rsidRPr="7C0B2130">
        <w:rPr>
          <w:color w:val="425254" w:themeColor="text1"/>
          <w:lang w:val="cs-CZ"/>
        </w:rPr>
        <w:t xml:space="preserve">oučasná situace se </w:t>
      </w:r>
      <w:r w:rsidR="00605D70" w:rsidRPr="7C0B2130">
        <w:rPr>
          <w:color w:val="425254" w:themeColor="text1"/>
          <w:lang w:val="cs-CZ"/>
        </w:rPr>
        <w:t>zásadně</w:t>
      </w:r>
      <w:r w:rsidR="009A13C8" w:rsidRPr="7C0B2130">
        <w:rPr>
          <w:color w:val="425254" w:themeColor="text1"/>
          <w:lang w:val="cs-CZ"/>
        </w:rPr>
        <w:t xml:space="preserve"> liší od finanční krize z roku 2008. Český trh od</w:t>
      </w:r>
      <w:r w:rsidR="003B3945" w:rsidRPr="7C0B2130">
        <w:rPr>
          <w:color w:val="425254" w:themeColor="text1"/>
          <w:lang w:val="cs-CZ"/>
        </w:rPr>
        <w:t> </w:t>
      </w:r>
      <w:r w:rsidR="009A13C8" w:rsidRPr="7C0B2130">
        <w:rPr>
          <w:color w:val="425254" w:themeColor="text1"/>
          <w:lang w:val="cs-CZ"/>
        </w:rPr>
        <w:t>té</w:t>
      </w:r>
      <w:r w:rsidR="003B3945" w:rsidRPr="7C0B2130">
        <w:rPr>
          <w:color w:val="425254" w:themeColor="text1"/>
          <w:lang w:val="cs-CZ"/>
        </w:rPr>
        <w:t> </w:t>
      </w:r>
      <w:r w:rsidR="009A13C8" w:rsidRPr="7C0B2130">
        <w:rPr>
          <w:color w:val="425254" w:themeColor="text1"/>
          <w:lang w:val="cs-CZ"/>
        </w:rPr>
        <w:t xml:space="preserve">doby </w:t>
      </w:r>
      <w:r w:rsidR="006E6ECF">
        <w:rPr>
          <w:color w:val="425254" w:themeColor="text1"/>
          <w:lang w:val="cs-CZ"/>
        </w:rPr>
        <w:t>velmi</w:t>
      </w:r>
      <w:r w:rsidR="00605D70" w:rsidRPr="7C0B2130">
        <w:rPr>
          <w:color w:val="425254" w:themeColor="text1"/>
          <w:lang w:val="cs-CZ"/>
        </w:rPr>
        <w:t xml:space="preserve"> </w:t>
      </w:r>
      <w:r w:rsidR="006E6ECF">
        <w:rPr>
          <w:color w:val="425254" w:themeColor="text1"/>
          <w:lang w:val="cs-CZ"/>
        </w:rPr>
        <w:t>vy</w:t>
      </w:r>
      <w:r w:rsidR="009A13C8" w:rsidRPr="7C0B2130">
        <w:rPr>
          <w:color w:val="425254" w:themeColor="text1"/>
          <w:lang w:val="cs-CZ"/>
        </w:rPr>
        <w:t xml:space="preserve">spěl a nachází se v dobré kondici, o čemž svědčí i nízký podíl neobsazených prostor. </w:t>
      </w:r>
      <w:r w:rsidR="00015C6C" w:rsidRPr="7C0B2130">
        <w:rPr>
          <w:color w:val="425254" w:themeColor="text1"/>
          <w:lang w:val="cs-CZ"/>
        </w:rPr>
        <w:t xml:space="preserve">Zároveň </w:t>
      </w:r>
      <w:r w:rsidR="006E6ECF">
        <w:rPr>
          <w:color w:val="425254" w:themeColor="text1"/>
          <w:lang w:val="cs-CZ"/>
        </w:rPr>
        <w:t xml:space="preserve">jsou </w:t>
      </w:r>
      <w:r w:rsidR="00015C6C" w:rsidRPr="7C0B2130">
        <w:rPr>
          <w:color w:val="425254" w:themeColor="text1"/>
          <w:lang w:val="cs-CZ"/>
        </w:rPr>
        <w:t>m</w:t>
      </w:r>
      <w:r w:rsidR="006E6ECF">
        <w:rPr>
          <w:color w:val="425254" w:themeColor="text1"/>
          <w:lang w:val="cs-CZ"/>
        </w:rPr>
        <w:t xml:space="preserve">ajitelé nemovitostí </w:t>
      </w:r>
      <w:r w:rsidR="009A13C8" w:rsidRPr="7C0B2130">
        <w:rPr>
          <w:color w:val="425254" w:themeColor="text1"/>
          <w:lang w:val="cs-CZ"/>
        </w:rPr>
        <w:t>dobře připraveni na různé eventuality, mají finanční rezervy a</w:t>
      </w:r>
      <w:r w:rsidR="003B3945" w:rsidRPr="7C0B2130">
        <w:rPr>
          <w:color w:val="425254" w:themeColor="text1"/>
          <w:lang w:val="cs-CZ"/>
        </w:rPr>
        <w:t> </w:t>
      </w:r>
      <w:r w:rsidR="009A13C8" w:rsidRPr="7C0B2130">
        <w:rPr>
          <w:color w:val="425254" w:themeColor="text1"/>
          <w:lang w:val="cs-CZ"/>
        </w:rPr>
        <w:t xml:space="preserve">nejsou nuceni prodávat. Ceny nemovitostí </w:t>
      </w:r>
      <w:r w:rsidR="00F164B5" w:rsidRPr="7C0B2130">
        <w:rPr>
          <w:color w:val="425254" w:themeColor="text1"/>
          <w:lang w:val="cs-CZ"/>
        </w:rPr>
        <w:t>proto</w:t>
      </w:r>
      <w:r w:rsidR="009A13C8" w:rsidRPr="7C0B2130">
        <w:rPr>
          <w:color w:val="425254" w:themeColor="text1"/>
          <w:lang w:val="cs-CZ"/>
        </w:rPr>
        <w:t xml:space="preserve"> nebudou nijak významně klesat jako během minulé krize</w:t>
      </w:r>
      <w:r w:rsidRPr="7C0B2130">
        <w:rPr>
          <w:color w:val="425254" w:themeColor="text1"/>
          <w:lang w:val="cs-CZ"/>
        </w:rPr>
        <w:t xml:space="preserve">. </w:t>
      </w:r>
      <w:r w:rsidR="009A13C8" w:rsidRPr="7C0B2130">
        <w:rPr>
          <w:i/>
          <w:iCs/>
          <w:color w:val="425254" w:themeColor="text1"/>
          <w:lang w:val="cs-CZ"/>
        </w:rPr>
        <w:t>„</w:t>
      </w:r>
      <w:r w:rsidR="00AC5ED5" w:rsidRPr="7C0B2130">
        <w:rPr>
          <w:i/>
          <w:iCs/>
          <w:color w:val="425254" w:themeColor="text1"/>
          <w:lang w:val="cs-CZ"/>
        </w:rPr>
        <w:t>Aktuálně</w:t>
      </w:r>
      <w:r w:rsidRPr="7C0B2130">
        <w:rPr>
          <w:i/>
          <w:iCs/>
          <w:color w:val="425254" w:themeColor="text1"/>
          <w:lang w:val="cs-CZ"/>
        </w:rPr>
        <w:t xml:space="preserve"> v</w:t>
      </w:r>
      <w:r w:rsidR="009A13C8" w:rsidRPr="7C0B2130">
        <w:rPr>
          <w:i/>
          <w:iCs/>
          <w:color w:val="425254" w:themeColor="text1"/>
          <w:lang w:val="cs-CZ"/>
        </w:rPr>
        <w:t xml:space="preserve">nímáme, že </w:t>
      </w:r>
      <w:r w:rsidRPr="7C0B2130">
        <w:rPr>
          <w:i/>
          <w:iCs/>
          <w:color w:val="425254" w:themeColor="text1"/>
          <w:lang w:val="cs-CZ"/>
        </w:rPr>
        <w:t xml:space="preserve">pomyslné </w:t>
      </w:r>
      <w:r w:rsidR="009A13C8" w:rsidRPr="7C0B2130">
        <w:rPr>
          <w:i/>
          <w:iCs/>
          <w:color w:val="425254" w:themeColor="text1"/>
          <w:lang w:val="cs-CZ"/>
        </w:rPr>
        <w:t xml:space="preserve">nůžky </w:t>
      </w:r>
      <w:r w:rsidRPr="7C0B2130">
        <w:rPr>
          <w:i/>
          <w:iCs/>
          <w:color w:val="425254" w:themeColor="text1"/>
          <w:lang w:val="cs-CZ"/>
        </w:rPr>
        <w:t xml:space="preserve">mezi kupujícími a prodávajícími </w:t>
      </w:r>
      <w:r w:rsidR="009A13C8" w:rsidRPr="7C0B2130">
        <w:rPr>
          <w:i/>
          <w:iCs/>
          <w:color w:val="425254" w:themeColor="text1"/>
          <w:lang w:val="cs-CZ"/>
        </w:rPr>
        <w:t>jsou rozevřené</w:t>
      </w:r>
      <w:r w:rsidR="00F164B5" w:rsidRPr="7C0B2130">
        <w:rPr>
          <w:i/>
          <w:iCs/>
          <w:color w:val="425254" w:themeColor="text1"/>
          <w:lang w:val="cs-CZ"/>
        </w:rPr>
        <w:t>, t</w:t>
      </w:r>
      <w:r w:rsidR="55CEE654" w:rsidRPr="7C0B2130">
        <w:rPr>
          <w:i/>
          <w:iCs/>
          <w:color w:val="425254" w:themeColor="text1"/>
          <w:lang w:val="cs-CZ"/>
        </w:rPr>
        <w:t xml:space="preserve">o znamená, </w:t>
      </w:r>
      <w:r w:rsidR="00F164B5" w:rsidRPr="7C0B2130">
        <w:rPr>
          <w:i/>
          <w:iCs/>
          <w:color w:val="425254" w:themeColor="text1"/>
          <w:lang w:val="cs-CZ"/>
        </w:rPr>
        <w:t>že</w:t>
      </w:r>
      <w:r w:rsidR="00015C6C" w:rsidRPr="7C0B2130">
        <w:rPr>
          <w:i/>
          <w:iCs/>
          <w:color w:val="425254" w:themeColor="text1"/>
          <w:lang w:val="cs-CZ"/>
        </w:rPr>
        <w:t xml:space="preserve"> obě strany mají odlišnou představu o ceně</w:t>
      </w:r>
      <w:r w:rsidR="00AC5ED5" w:rsidRPr="7C0B2130">
        <w:rPr>
          <w:i/>
          <w:iCs/>
          <w:color w:val="425254" w:themeColor="text1"/>
          <w:lang w:val="cs-CZ"/>
        </w:rPr>
        <w:t xml:space="preserve">. </w:t>
      </w:r>
      <w:r w:rsidRPr="7C0B2130">
        <w:rPr>
          <w:i/>
          <w:iCs/>
          <w:color w:val="425254" w:themeColor="text1"/>
          <w:lang w:val="cs-CZ"/>
        </w:rPr>
        <w:t>M</w:t>
      </w:r>
      <w:r w:rsidR="009A13C8" w:rsidRPr="7C0B2130">
        <w:rPr>
          <w:i/>
          <w:iCs/>
          <w:color w:val="425254" w:themeColor="text1"/>
          <w:lang w:val="cs-CZ"/>
        </w:rPr>
        <w:t xml:space="preserve">inulý rok byl </w:t>
      </w:r>
      <w:r w:rsidR="00AC5ED5" w:rsidRPr="7C0B2130">
        <w:rPr>
          <w:i/>
          <w:iCs/>
          <w:color w:val="425254" w:themeColor="text1"/>
          <w:lang w:val="cs-CZ"/>
        </w:rPr>
        <w:t>dokončen</w:t>
      </w:r>
      <w:r w:rsidR="009A13C8" w:rsidRPr="7C0B2130">
        <w:rPr>
          <w:i/>
          <w:iCs/>
          <w:color w:val="425254" w:themeColor="text1"/>
          <w:lang w:val="cs-CZ"/>
        </w:rPr>
        <w:t xml:space="preserve"> rekordní </w:t>
      </w:r>
      <w:r w:rsidR="441504A3" w:rsidRPr="7C0B2130">
        <w:rPr>
          <w:i/>
          <w:iCs/>
          <w:color w:val="425254" w:themeColor="text1"/>
          <w:lang w:val="cs-CZ"/>
        </w:rPr>
        <w:t>počet</w:t>
      </w:r>
      <w:r w:rsidR="009A13C8" w:rsidRPr="7C0B2130">
        <w:rPr>
          <w:i/>
          <w:iCs/>
          <w:color w:val="425254" w:themeColor="text1"/>
          <w:lang w:val="cs-CZ"/>
        </w:rPr>
        <w:t xml:space="preserve"> transakcí</w:t>
      </w:r>
      <w:r w:rsidR="00015C6C" w:rsidRPr="7C0B2130">
        <w:rPr>
          <w:i/>
          <w:iCs/>
          <w:color w:val="425254" w:themeColor="text1"/>
          <w:lang w:val="cs-CZ"/>
        </w:rPr>
        <w:t xml:space="preserve">, ale </w:t>
      </w:r>
      <w:r w:rsidR="009A13C8" w:rsidRPr="7C0B2130">
        <w:rPr>
          <w:i/>
          <w:iCs/>
          <w:color w:val="425254" w:themeColor="text1"/>
          <w:lang w:val="cs-CZ"/>
        </w:rPr>
        <w:t xml:space="preserve">letos se více vyjednává. </w:t>
      </w:r>
      <w:r w:rsidR="00581502" w:rsidRPr="7C0B2130">
        <w:rPr>
          <w:i/>
          <w:iCs/>
          <w:color w:val="425254" w:themeColor="text1"/>
          <w:lang w:val="cs-CZ"/>
        </w:rPr>
        <w:t xml:space="preserve">Každopádně </w:t>
      </w:r>
      <w:r w:rsidR="00AC5ED5" w:rsidRPr="7C0B2130">
        <w:rPr>
          <w:i/>
          <w:iCs/>
          <w:color w:val="425254" w:themeColor="text1"/>
          <w:lang w:val="cs-CZ"/>
        </w:rPr>
        <w:t>majitelé nemovitostí</w:t>
      </w:r>
      <w:r w:rsidR="009A13C8" w:rsidRPr="7C0B2130">
        <w:rPr>
          <w:i/>
          <w:iCs/>
          <w:color w:val="425254" w:themeColor="text1"/>
          <w:lang w:val="cs-CZ"/>
        </w:rPr>
        <w:t xml:space="preserve"> nechtějí prodávat za nižší cenu</w:t>
      </w:r>
      <w:r w:rsidR="00AC5ED5" w:rsidRPr="7C0B2130">
        <w:rPr>
          <w:i/>
          <w:iCs/>
          <w:color w:val="425254" w:themeColor="text1"/>
          <w:lang w:val="cs-CZ"/>
        </w:rPr>
        <w:t xml:space="preserve"> a ani je k</w:t>
      </w:r>
      <w:r w:rsidR="00F164B5" w:rsidRPr="7C0B2130">
        <w:rPr>
          <w:i/>
          <w:iCs/>
          <w:color w:val="425254" w:themeColor="text1"/>
          <w:lang w:val="cs-CZ"/>
        </w:rPr>
        <w:t> </w:t>
      </w:r>
      <w:r w:rsidR="00AC5ED5" w:rsidRPr="7C0B2130">
        <w:rPr>
          <w:i/>
          <w:iCs/>
          <w:color w:val="425254" w:themeColor="text1"/>
          <w:lang w:val="cs-CZ"/>
        </w:rPr>
        <w:t>tomu</w:t>
      </w:r>
      <w:r w:rsidR="00F164B5" w:rsidRPr="7C0B2130">
        <w:rPr>
          <w:i/>
          <w:iCs/>
          <w:color w:val="425254" w:themeColor="text1"/>
          <w:lang w:val="cs-CZ"/>
        </w:rPr>
        <w:t xml:space="preserve"> nic</w:t>
      </w:r>
      <w:r w:rsidR="00AC5ED5" w:rsidRPr="7C0B2130">
        <w:rPr>
          <w:i/>
          <w:iCs/>
          <w:color w:val="425254" w:themeColor="text1"/>
          <w:lang w:val="cs-CZ"/>
        </w:rPr>
        <w:t xml:space="preserve"> nenutí</w:t>
      </w:r>
      <w:r w:rsidR="00F164B5" w:rsidRPr="7C0B2130">
        <w:rPr>
          <w:i/>
          <w:iCs/>
          <w:color w:val="425254" w:themeColor="text1"/>
          <w:lang w:val="cs-CZ"/>
        </w:rPr>
        <w:t>. Mají d</w:t>
      </w:r>
      <w:r w:rsidR="00AC5ED5" w:rsidRPr="7C0B2130">
        <w:rPr>
          <w:i/>
          <w:iCs/>
          <w:color w:val="425254" w:themeColor="text1"/>
          <w:lang w:val="cs-CZ"/>
        </w:rPr>
        <w:t xml:space="preserve">ostatek </w:t>
      </w:r>
      <w:r w:rsidR="000A0E03" w:rsidRPr="7C0B2130">
        <w:rPr>
          <w:i/>
          <w:iCs/>
          <w:color w:val="425254" w:themeColor="text1"/>
          <w:lang w:val="cs-CZ"/>
        </w:rPr>
        <w:t>likvidity</w:t>
      </w:r>
      <w:r w:rsidR="00AC5ED5" w:rsidRPr="7C0B2130">
        <w:rPr>
          <w:i/>
          <w:iCs/>
          <w:color w:val="425254" w:themeColor="text1"/>
          <w:lang w:val="cs-CZ"/>
        </w:rPr>
        <w:t xml:space="preserve">, takže si </w:t>
      </w:r>
      <w:r w:rsidR="009A13C8" w:rsidRPr="7C0B2130">
        <w:rPr>
          <w:i/>
          <w:iCs/>
          <w:color w:val="425254" w:themeColor="text1"/>
          <w:lang w:val="cs-CZ"/>
        </w:rPr>
        <w:t xml:space="preserve">klidně počkají na </w:t>
      </w:r>
      <w:r w:rsidR="312C02A2" w:rsidRPr="7C0B2130">
        <w:rPr>
          <w:i/>
          <w:iCs/>
          <w:color w:val="425254" w:themeColor="text1"/>
          <w:lang w:val="cs-CZ"/>
        </w:rPr>
        <w:t>výhodnější</w:t>
      </w:r>
      <w:r w:rsidR="009A13C8" w:rsidRPr="7C0B2130">
        <w:rPr>
          <w:i/>
          <w:iCs/>
          <w:color w:val="425254" w:themeColor="text1"/>
          <w:lang w:val="cs-CZ"/>
        </w:rPr>
        <w:t xml:space="preserve"> nabídku. </w:t>
      </w:r>
      <w:r w:rsidR="00E05F16" w:rsidRPr="7C0B2130">
        <w:rPr>
          <w:i/>
          <w:iCs/>
          <w:color w:val="425254" w:themeColor="text1"/>
          <w:lang w:val="cs-CZ"/>
        </w:rPr>
        <w:t>Předpokládám</w:t>
      </w:r>
      <w:r w:rsidR="00F164B5" w:rsidRPr="7C0B2130">
        <w:rPr>
          <w:i/>
          <w:iCs/>
          <w:color w:val="425254" w:themeColor="text1"/>
          <w:lang w:val="cs-CZ"/>
        </w:rPr>
        <w:t>e, že ke</w:t>
      </w:r>
      <w:r w:rsidRPr="7C0B2130">
        <w:rPr>
          <w:i/>
          <w:iCs/>
          <w:color w:val="425254" w:themeColor="text1"/>
          <w:lang w:val="cs-CZ"/>
        </w:rPr>
        <w:t xml:space="preserve"> </w:t>
      </w:r>
      <w:r w:rsidR="00AC5ED5" w:rsidRPr="7C0B2130">
        <w:rPr>
          <w:i/>
          <w:iCs/>
          <w:color w:val="425254" w:themeColor="text1"/>
          <w:lang w:val="cs-CZ"/>
        </w:rPr>
        <w:t xml:space="preserve">sbližování </w:t>
      </w:r>
      <w:r w:rsidR="2CB504BF" w:rsidRPr="7C0B2130">
        <w:rPr>
          <w:i/>
          <w:iCs/>
          <w:color w:val="425254" w:themeColor="text1"/>
          <w:lang w:val="cs-CZ"/>
        </w:rPr>
        <w:t xml:space="preserve">těchto </w:t>
      </w:r>
      <w:r w:rsidR="00AC5ED5" w:rsidRPr="7C0B2130">
        <w:rPr>
          <w:i/>
          <w:iCs/>
          <w:color w:val="425254" w:themeColor="text1"/>
          <w:lang w:val="cs-CZ"/>
        </w:rPr>
        <w:t xml:space="preserve">očekávání </w:t>
      </w:r>
      <w:r w:rsidR="00F164B5" w:rsidRPr="7C0B2130">
        <w:rPr>
          <w:i/>
          <w:iCs/>
          <w:color w:val="425254" w:themeColor="text1"/>
          <w:lang w:val="cs-CZ"/>
        </w:rPr>
        <w:t>dojde</w:t>
      </w:r>
      <w:r w:rsidR="00AC5ED5" w:rsidRPr="7C0B2130">
        <w:rPr>
          <w:i/>
          <w:iCs/>
          <w:color w:val="425254" w:themeColor="text1"/>
          <w:lang w:val="cs-CZ"/>
        </w:rPr>
        <w:t xml:space="preserve"> již ke konci letošního roku a naplno se</w:t>
      </w:r>
      <w:r w:rsidR="003B3945" w:rsidRPr="7C0B2130">
        <w:rPr>
          <w:i/>
          <w:iCs/>
          <w:color w:val="425254" w:themeColor="text1"/>
          <w:lang w:val="cs-CZ"/>
        </w:rPr>
        <w:t> </w:t>
      </w:r>
      <w:r w:rsidR="00AC5ED5" w:rsidRPr="7C0B2130">
        <w:rPr>
          <w:i/>
          <w:iCs/>
          <w:color w:val="425254" w:themeColor="text1"/>
          <w:lang w:val="cs-CZ"/>
        </w:rPr>
        <w:t>projeví počátkem toho příštího</w:t>
      </w:r>
      <w:r w:rsidR="00F164B5" w:rsidRPr="7C0B2130">
        <w:rPr>
          <w:i/>
          <w:iCs/>
          <w:color w:val="425254" w:themeColor="text1"/>
          <w:lang w:val="cs-CZ"/>
        </w:rPr>
        <w:t xml:space="preserve">. </w:t>
      </w:r>
      <w:r w:rsidR="00AC5ED5" w:rsidRPr="7C0B2130">
        <w:rPr>
          <w:i/>
          <w:iCs/>
          <w:color w:val="425254" w:themeColor="text1"/>
          <w:lang w:val="cs-CZ"/>
        </w:rPr>
        <w:t>K</w:t>
      </w:r>
      <w:r w:rsidR="009A13C8" w:rsidRPr="7C0B2130">
        <w:rPr>
          <w:i/>
          <w:iCs/>
          <w:color w:val="425254" w:themeColor="text1"/>
          <w:lang w:val="cs-CZ"/>
        </w:rPr>
        <w:t xml:space="preserve">upující </w:t>
      </w:r>
      <w:r w:rsidR="00AC5ED5" w:rsidRPr="7C0B2130">
        <w:rPr>
          <w:i/>
          <w:iCs/>
          <w:color w:val="425254" w:themeColor="text1"/>
          <w:lang w:val="cs-CZ"/>
        </w:rPr>
        <w:t>si naplno uvědomí</w:t>
      </w:r>
      <w:r w:rsidR="006E6ECF">
        <w:rPr>
          <w:i/>
          <w:iCs/>
          <w:color w:val="425254" w:themeColor="text1"/>
          <w:lang w:val="cs-CZ"/>
        </w:rPr>
        <w:t>, že cena nebude atraktivnější</w:t>
      </w:r>
      <w:r w:rsidR="009A13C8" w:rsidRPr="7C0B2130">
        <w:rPr>
          <w:i/>
          <w:iCs/>
          <w:color w:val="425254" w:themeColor="text1"/>
          <w:lang w:val="cs-CZ"/>
        </w:rPr>
        <w:t xml:space="preserve"> </w:t>
      </w:r>
      <w:r w:rsidR="005E7E7D">
        <w:rPr>
          <w:i/>
          <w:iCs/>
          <w:color w:val="425254" w:themeColor="text1"/>
          <w:lang w:val="cs-CZ"/>
        </w:rPr>
        <w:t>–</w:t>
      </w:r>
      <w:r w:rsidR="006E6ECF">
        <w:rPr>
          <w:i/>
          <w:iCs/>
          <w:color w:val="425254" w:themeColor="text1"/>
          <w:lang w:val="cs-CZ"/>
        </w:rPr>
        <w:t xml:space="preserve"> </w:t>
      </w:r>
      <w:r w:rsidR="009A13C8" w:rsidRPr="7C0B2130">
        <w:rPr>
          <w:i/>
          <w:iCs/>
          <w:color w:val="425254" w:themeColor="text1"/>
          <w:lang w:val="cs-CZ"/>
        </w:rPr>
        <w:t>a trh se</w:t>
      </w:r>
      <w:r w:rsidR="003B3945" w:rsidRPr="7C0B2130">
        <w:rPr>
          <w:i/>
          <w:iCs/>
          <w:color w:val="425254" w:themeColor="text1"/>
          <w:lang w:val="cs-CZ"/>
        </w:rPr>
        <w:t> </w:t>
      </w:r>
      <w:r w:rsidR="006E6ECF">
        <w:rPr>
          <w:i/>
          <w:iCs/>
          <w:color w:val="425254" w:themeColor="text1"/>
          <w:lang w:val="cs-CZ"/>
        </w:rPr>
        <w:t xml:space="preserve">tak </w:t>
      </w:r>
      <w:r w:rsidR="009A13C8" w:rsidRPr="7C0B2130">
        <w:rPr>
          <w:i/>
          <w:iCs/>
          <w:color w:val="425254" w:themeColor="text1"/>
          <w:lang w:val="cs-CZ"/>
        </w:rPr>
        <w:t>přikloní zpátky na stranu prodávajících,“</w:t>
      </w:r>
      <w:r w:rsidR="009A13C8" w:rsidRPr="7C0B2130">
        <w:rPr>
          <w:color w:val="425254" w:themeColor="text1"/>
          <w:lang w:val="cs-CZ"/>
        </w:rPr>
        <w:t xml:space="preserve"> komentuje</w:t>
      </w:r>
      <w:r w:rsidR="00DC5363">
        <w:rPr>
          <w:color w:val="425254" w:themeColor="text1"/>
          <w:lang w:val="cs-CZ"/>
        </w:rPr>
        <w:t xml:space="preserve"> </w:t>
      </w:r>
      <w:r w:rsidR="005E7E7D">
        <w:rPr>
          <w:b/>
          <w:bCs/>
          <w:color w:val="425254" w:themeColor="text1"/>
          <w:lang w:val="cs-CZ"/>
        </w:rPr>
        <w:t>Jakub Stanislav.</w:t>
      </w:r>
    </w:p>
    <w:p w14:paraId="416AA9AF" w14:textId="77777777" w:rsidR="00D3587D" w:rsidRDefault="00D3587D" w:rsidP="00941EC4">
      <w:pPr>
        <w:pStyle w:val="BodyCopy"/>
        <w:jc w:val="both"/>
        <w:rPr>
          <w:i/>
          <w:lang w:val="cs-CZ"/>
        </w:rPr>
      </w:pPr>
    </w:p>
    <w:p w14:paraId="57ECAFDE" w14:textId="3483B1AE" w:rsidR="00225303" w:rsidRDefault="433FF9B3" w:rsidP="00941EC4">
      <w:pPr>
        <w:pStyle w:val="BodyCopy"/>
        <w:jc w:val="both"/>
        <w:rPr>
          <w:b/>
          <w:bCs/>
          <w:lang w:val="cs-CZ"/>
        </w:rPr>
      </w:pPr>
      <w:r w:rsidRPr="7C0B2130">
        <w:rPr>
          <w:b/>
          <w:bCs/>
          <w:lang w:val="cs-CZ"/>
        </w:rPr>
        <w:t>A c</w:t>
      </w:r>
      <w:r w:rsidR="00225303" w:rsidRPr="7C0B2130">
        <w:rPr>
          <w:b/>
          <w:bCs/>
          <w:lang w:val="cs-CZ"/>
        </w:rPr>
        <w:t>o na to yieldy?</w:t>
      </w:r>
    </w:p>
    <w:p w14:paraId="77F86CB5" w14:textId="5FCF87EF" w:rsidR="000A0E03" w:rsidRPr="006E2DE9" w:rsidRDefault="00225303" w:rsidP="00941EC4">
      <w:pPr>
        <w:pStyle w:val="BodyCopy"/>
        <w:jc w:val="both"/>
        <w:rPr>
          <w:lang w:val="cs-CZ"/>
        </w:rPr>
      </w:pPr>
      <w:r w:rsidRPr="7C0B2130">
        <w:rPr>
          <w:lang w:val="cs-CZ"/>
        </w:rPr>
        <w:t>Tuzemský trh</w:t>
      </w:r>
      <w:r w:rsidR="573EF287" w:rsidRPr="7C0B2130">
        <w:rPr>
          <w:lang w:val="cs-CZ"/>
        </w:rPr>
        <w:t xml:space="preserve"> komerčních realit</w:t>
      </w:r>
      <w:r w:rsidRPr="7C0B2130">
        <w:rPr>
          <w:lang w:val="cs-CZ"/>
        </w:rPr>
        <w:t xml:space="preserve"> </w:t>
      </w:r>
      <w:r w:rsidR="00D2430E" w:rsidRPr="7C0B2130">
        <w:rPr>
          <w:lang w:val="cs-CZ"/>
        </w:rPr>
        <w:t xml:space="preserve">má velkou oporu v silných bankovních institucích, které jsou schopny financovat lokální developery i zahraniční investory, a to jak v korunách, tak </w:t>
      </w:r>
      <w:r w:rsidR="00581502" w:rsidRPr="7C0B2130">
        <w:rPr>
          <w:lang w:val="cs-CZ"/>
        </w:rPr>
        <w:t xml:space="preserve">v </w:t>
      </w:r>
      <w:r w:rsidR="00D2430E" w:rsidRPr="7C0B2130">
        <w:rPr>
          <w:lang w:val="cs-CZ"/>
        </w:rPr>
        <w:t xml:space="preserve">eurech. To rozhodně nelze říci o všech ostatních státech </w:t>
      </w:r>
      <w:r w:rsidR="00E05F16" w:rsidRPr="7C0B2130">
        <w:rPr>
          <w:lang w:val="cs-CZ"/>
        </w:rPr>
        <w:t>z</w:t>
      </w:r>
      <w:r w:rsidR="00D2430E" w:rsidRPr="7C0B2130">
        <w:rPr>
          <w:lang w:val="cs-CZ"/>
        </w:rPr>
        <w:t xml:space="preserve"> regionu, ať už jde o Polsko, Slovensko či Maďarsko. Všechny tyto</w:t>
      </w:r>
      <w:r w:rsidR="003B3945" w:rsidRPr="7C0B2130">
        <w:rPr>
          <w:lang w:val="cs-CZ"/>
        </w:rPr>
        <w:t> </w:t>
      </w:r>
      <w:r w:rsidR="00D2430E" w:rsidRPr="7C0B2130">
        <w:rPr>
          <w:lang w:val="cs-CZ"/>
        </w:rPr>
        <w:t>faktory dodávají sebevědomí tuzemské ekonomice a přispívají k dobrému fungování trhu.</w:t>
      </w:r>
      <w:r w:rsidR="00D2430E" w:rsidRPr="7C0B2130">
        <w:rPr>
          <w:i/>
          <w:iCs/>
          <w:lang w:val="cs-CZ"/>
        </w:rPr>
        <w:t xml:space="preserve"> </w:t>
      </w:r>
      <w:r w:rsidR="006E6ECF">
        <w:rPr>
          <w:lang w:val="cs-CZ"/>
        </w:rPr>
        <w:t>Na druhou stranu platí</w:t>
      </w:r>
      <w:r w:rsidR="00D3587D" w:rsidRPr="7C0B2130">
        <w:rPr>
          <w:lang w:val="cs-CZ"/>
        </w:rPr>
        <w:t>, že banky v ceně financování vždy reflektují svůj výhled do</w:t>
      </w:r>
      <w:r w:rsidR="003B3945" w:rsidRPr="7C0B2130">
        <w:rPr>
          <w:lang w:val="cs-CZ"/>
        </w:rPr>
        <w:t> </w:t>
      </w:r>
      <w:r w:rsidR="00D3587D" w:rsidRPr="7C0B2130">
        <w:rPr>
          <w:lang w:val="cs-CZ"/>
        </w:rPr>
        <w:t>budoucna</w:t>
      </w:r>
      <w:r w:rsidR="00B8684C">
        <w:rPr>
          <w:lang w:val="cs-CZ"/>
        </w:rPr>
        <w:t>, nicméně</w:t>
      </w:r>
      <w:r w:rsidR="00A52BF2">
        <w:rPr>
          <w:lang w:val="cs-CZ"/>
        </w:rPr>
        <w:t xml:space="preserve"> vidíme</w:t>
      </w:r>
      <w:r w:rsidR="00B8684C">
        <w:rPr>
          <w:lang w:val="cs-CZ"/>
        </w:rPr>
        <w:t xml:space="preserve"> </w:t>
      </w:r>
      <w:r w:rsidR="00A52BF2">
        <w:rPr>
          <w:lang w:val="cs-CZ"/>
        </w:rPr>
        <w:t>schopnost lokálních bank</w:t>
      </w:r>
      <w:r w:rsidR="004307A0">
        <w:rPr>
          <w:lang w:val="cs-CZ"/>
        </w:rPr>
        <w:t xml:space="preserve"> financovat transakce v</w:t>
      </w:r>
      <w:r w:rsidR="00DC567A">
        <w:rPr>
          <w:lang w:val="cs-CZ"/>
        </w:rPr>
        <w:t> eurech</w:t>
      </w:r>
      <w:r w:rsidR="00D3587D" w:rsidRPr="7C0B2130">
        <w:rPr>
          <w:lang w:val="cs-CZ"/>
        </w:rPr>
        <w:t xml:space="preserve">. I z toho důvodu je zřejmé, že realitní trh čekají změny. </w:t>
      </w:r>
      <w:r w:rsidR="00AA2636" w:rsidRPr="7C0B2130">
        <w:rPr>
          <w:lang w:val="cs-CZ"/>
        </w:rPr>
        <w:t>Dostali jsme se za</w:t>
      </w:r>
      <w:r w:rsidR="003B3945" w:rsidRPr="7C0B2130">
        <w:rPr>
          <w:lang w:val="cs-CZ"/>
        </w:rPr>
        <w:t> </w:t>
      </w:r>
      <w:r w:rsidR="00AA2636" w:rsidRPr="7C0B2130">
        <w:rPr>
          <w:lang w:val="cs-CZ"/>
        </w:rPr>
        <w:t xml:space="preserve">periodu toho, kdy docházelo ke kompresi a yieldy šly dolů. </w:t>
      </w:r>
    </w:p>
    <w:p w14:paraId="4A81FEBA" w14:textId="7364AAC6" w:rsidR="00D2430E" w:rsidRDefault="00D2430E" w:rsidP="00941EC4">
      <w:pPr>
        <w:pStyle w:val="BodyCopy"/>
        <w:jc w:val="both"/>
        <w:rPr>
          <w:lang w:val="cs-CZ"/>
        </w:rPr>
      </w:pPr>
    </w:p>
    <w:p w14:paraId="44D1592C" w14:textId="292D0FDB" w:rsidR="00AA2636" w:rsidRDefault="00AA2636" w:rsidP="00941EC4">
      <w:pPr>
        <w:pStyle w:val="BodyCopy"/>
        <w:jc w:val="both"/>
        <w:rPr>
          <w:lang w:val="cs-CZ"/>
        </w:rPr>
      </w:pPr>
      <w:r w:rsidRPr="7C0B2130">
        <w:rPr>
          <w:i/>
          <w:iCs/>
          <w:lang w:val="cs-CZ"/>
        </w:rPr>
        <w:t>„Zjednodušeně lze říci, že ceny nemovitostí letos dosáhly svého maxima a yieldy minima. Ty se sice momentálně pohybují na stejné úrovni jako loni nebo předloni, ale porostou</w:t>
      </w:r>
      <w:r w:rsidRPr="007F113B">
        <w:rPr>
          <w:i/>
          <w:iCs/>
          <w:lang w:val="cs-CZ"/>
        </w:rPr>
        <w:t xml:space="preserve">. </w:t>
      </w:r>
      <w:bookmarkStart w:id="1" w:name="_Hlk113443443"/>
      <w:r w:rsidRPr="007F113B">
        <w:rPr>
          <w:i/>
          <w:iCs/>
          <w:lang w:val="cs-CZ"/>
        </w:rPr>
        <w:t>Očekáváme, že</w:t>
      </w:r>
      <w:r w:rsidR="003B3945" w:rsidRPr="007F113B">
        <w:rPr>
          <w:i/>
          <w:iCs/>
          <w:lang w:val="cs-CZ"/>
        </w:rPr>
        <w:t> </w:t>
      </w:r>
      <w:r w:rsidRPr="007F113B">
        <w:rPr>
          <w:i/>
          <w:iCs/>
          <w:lang w:val="cs-CZ"/>
        </w:rPr>
        <w:t>jak</w:t>
      </w:r>
      <w:r w:rsidR="003B3945" w:rsidRPr="007F113B">
        <w:rPr>
          <w:i/>
          <w:iCs/>
          <w:lang w:val="cs-CZ"/>
        </w:rPr>
        <w:t> </w:t>
      </w:r>
      <w:r w:rsidRPr="007F113B">
        <w:rPr>
          <w:i/>
          <w:iCs/>
          <w:lang w:val="cs-CZ"/>
        </w:rPr>
        <w:t>se</w:t>
      </w:r>
      <w:r w:rsidR="003B3945" w:rsidRPr="007F113B">
        <w:rPr>
          <w:i/>
          <w:iCs/>
          <w:lang w:val="cs-CZ"/>
        </w:rPr>
        <w:t> </w:t>
      </w:r>
      <w:r w:rsidRPr="007F113B">
        <w:rPr>
          <w:i/>
          <w:iCs/>
          <w:lang w:val="cs-CZ"/>
        </w:rPr>
        <w:t>bud</w:t>
      </w:r>
      <w:r w:rsidR="006E6ECF" w:rsidRPr="007F113B">
        <w:rPr>
          <w:i/>
          <w:iCs/>
          <w:lang w:val="cs-CZ"/>
        </w:rPr>
        <w:t xml:space="preserve">ou měnit úrokové sazby </w:t>
      </w:r>
      <w:r w:rsidRPr="007F113B">
        <w:rPr>
          <w:i/>
          <w:iCs/>
          <w:lang w:val="cs-CZ"/>
        </w:rPr>
        <w:t xml:space="preserve">u eurových úvěrů, které jsou pro yieldy primární (98 % investičních obchodů tvoří právě eurové transakce), tak yieldy </w:t>
      </w:r>
      <w:r w:rsidR="003D27D9">
        <w:rPr>
          <w:i/>
          <w:iCs/>
          <w:lang w:val="cs-CZ"/>
        </w:rPr>
        <w:t xml:space="preserve">na konci roku </w:t>
      </w:r>
      <w:r w:rsidRPr="007F113B">
        <w:rPr>
          <w:i/>
          <w:iCs/>
          <w:lang w:val="cs-CZ"/>
        </w:rPr>
        <w:t>vzrostou o 25</w:t>
      </w:r>
      <w:r w:rsidR="00406E34">
        <w:rPr>
          <w:i/>
          <w:iCs/>
          <w:lang w:val="cs-CZ"/>
        </w:rPr>
        <w:t>-50</w:t>
      </w:r>
      <w:r w:rsidRPr="007F113B">
        <w:rPr>
          <w:i/>
          <w:iCs/>
          <w:lang w:val="cs-CZ"/>
        </w:rPr>
        <w:t xml:space="preserve"> bazických bodů napříč všemi kategoriemi s výjimkou retail parků. I když očekáváme, že</w:t>
      </w:r>
      <w:r w:rsidR="003B3945" w:rsidRPr="006E47D4">
        <w:rPr>
          <w:i/>
          <w:iCs/>
          <w:lang w:val="cs-CZ"/>
        </w:rPr>
        <w:t> </w:t>
      </w:r>
      <w:r w:rsidR="006E6ECF" w:rsidRPr="007F113B">
        <w:rPr>
          <w:i/>
          <w:iCs/>
          <w:lang w:val="cs-CZ"/>
        </w:rPr>
        <w:t xml:space="preserve">vlivem inflace </w:t>
      </w:r>
      <w:r w:rsidRPr="007F113B">
        <w:rPr>
          <w:i/>
          <w:iCs/>
          <w:lang w:val="cs-CZ"/>
        </w:rPr>
        <w:t xml:space="preserve">yieldy </w:t>
      </w:r>
      <w:r w:rsidR="006E6ECF" w:rsidRPr="007F113B">
        <w:rPr>
          <w:i/>
          <w:iCs/>
          <w:lang w:val="cs-CZ"/>
        </w:rPr>
        <w:t xml:space="preserve">půjdou </w:t>
      </w:r>
      <w:r w:rsidRPr="007F113B">
        <w:rPr>
          <w:i/>
          <w:iCs/>
          <w:lang w:val="cs-CZ"/>
        </w:rPr>
        <w:t>nahoru</w:t>
      </w:r>
      <w:r w:rsidRPr="7C0B2130">
        <w:rPr>
          <w:i/>
          <w:iCs/>
          <w:lang w:val="cs-CZ"/>
        </w:rPr>
        <w:t>, majitelům nemovitostí bude tuto změnu pomáhat balancovat růst nájmů, který je od konce minulého roku patrný napříč všemi segmenty,“</w:t>
      </w:r>
      <w:r w:rsidRPr="7C0B2130">
        <w:rPr>
          <w:lang w:val="cs-CZ"/>
        </w:rPr>
        <w:t xml:space="preserve"> popisuje</w:t>
      </w:r>
      <w:r w:rsidR="00D82370">
        <w:rPr>
          <w:lang w:val="cs-CZ"/>
        </w:rPr>
        <w:t xml:space="preserve"> </w:t>
      </w:r>
      <w:r w:rsidR="00D82370" w:rsidRPr="00D82370">
        <w:rPr>
          <w:b/>
          <w:bCs/>
          <w:lang w:val="cs-CZ"/>
        </w:rPr>
        <w:t>Jakub Stanislav</w:t>
      </w:r>
      <w:r w:rsidR="00D82370">
        <w:rPr>
          <w:lang w:val="cs-CZ"/>
        </w:rPr>
        <w:t>.</w:t>
      </w:r>
      <w:bookmarkEnd w:id="1"/>
    </w:p>
    <w:p w14:paraId="416F830C" w14:textId="77777777" w:rsidR="00D82370" w:rsidRDefault="00D82370" w:rsidP="00941EC4">
      <w:pPr>
        <w:pStyle w:val="BodyCopy"/>
        <w:jc w:val="both"/>
        <w:rPr>
          <w:lang w:val="cs-CZ"/>
        </w:rPr>
      </w:pPr>
    </w:p>
    <w:p w14:paraId="597D09F6" w14:textId="40757027" w:rsidR="00AA2636" w:rsidRPr="006E2DE9" w:rsidRDefault="00AA2636" w:rsidP="00941EC4">
      <w:pPr>
        <w:pStyle w:val="BodyCopy"/>
        <w:jc w:val="both"/>
        <w:rPr>
          <w:lang w:val="cs-CZ"/>
        </w:rPr>
      </w:pPr>
      <w:r w:rsidRPr="007F113B">
        <w:rPr>
          <w:lang w:val="cs-CZ"/>
        </w:rPr>
        <w:t>Trend růstu nájemného je neoddiskutovatelný především u nově vznikajících kancelářských objektů, kde</w:t>
      </w:r>
      <w:r w:rsidR="003B3945" w:rsidRPr="007F113B">
        <w:rPr>
          <w:lang w:val="cs-CZ"/>
        </w:rPr>
        <w:t> </w:t>
      </w:r>
      <w:r w:rsidRPr="007F113B">
        <w:rPr>
          <w:lang w:val="cs-CZ"/>
        </w:rPr>
        <w:t xml:space="preserve">se nové prostory již </w:t>
      </w:r>
      <w:r w:rsidR="00E05F16" w:rsidRPr="007F113B">
        <w:rPr>
          <w:lang w:val="cs-CZ"/>
        </w:rPr>
        <w:t xml:space="preserve">nenabízejí </w:t>
      </w:r>
      <w:r w:rsidRPr="007F113B">
        <w:rPr>
          <w:lang w:val="cs-CZ"/>
        </w:rPr>
        <w:t>pod 14,50 euro za metr čtvereční na měsíc, a dále v logistickém a</w:t>
      </w:r>
      <w:r w:rsidR="003B3945" w:rsidRPr="006E47D4">
        <w:rPr>
          <w:lang w:val="cs-CZ"/>
        </w:rPr>
        <w:t> </w:t>
      </w:r>
      <w:r w:rsidRPr="007F113B">
        <w:rPr>
          <w:lang w:val="cs-CZ"/>
        </w:rPr>
        <w:t>industriálním sektoru. Například v metropoli se pronájem skladových pro</w:t>
      </w:r>
      <w:r w:rsidR="005E7E7D">
        <w:rPr>
          <w:lang w:val="cs-CZ"/>
        </w:rPr>
        <w:t>stor dostává k hranici 8 eur za </w:t>
      </w:r>
      <w:r w:rsidRPr="007F113B">
        <w:rPr>
          <w:lang w:val="cs-CZ"/>
        </w:rPr>
        <w:t xml:space="preserve">metr čtvereční na měsíc, i když </w:t>
      </w:r>
      <w:r w:rsidR="34A11E0B" w:rsidRPr="007F113B">
        <w:rPr>
          <w:lang w:val="cs-CZ"/>
        </w:rPr>
        <w:t xml:space="preserve">se </w:t>
      </w:r>
      <w:r w:rsidRPr="007F113B">
        <w:rPr>
          <w:lang w:val="cs-CZ"/>
        </w:rPr>
        <w:t>ještě v roce 2018 pohyboval mezi 5 až 5,50</w:t>
      </w:r>
      <w:r w:rsidR="006E6ECF" w:rsidRPr="007F113B">
        <w:rPr>
          <w:lang w:val="cs-CZ"/>
        </w:rPr>
        <w:t xml:space="preserve"> eur</w:t>
      </w:r>
      <w:r w:rsidRPr="007F113B">
        <w:rPr>
          <w:lang w:val="cs-CZ"/>
        </w:rPr>
        <w:t xml:space="preserve">. Výrazný skok nastal vloni, a to dokonce natolik zásadní, že v Praze a </w:t>
      </w:r>
      <w:r w:rsidRPr="006E47D4">
        <w:rPr>
          <w:lang w:val="cs-CZ"/>
        </w:rPr>
        <w:t>okolí</w:t>
      </w:r>
      <w:r w:rsidR="07AA95FE" w:rsidRPr="007F113B">
        <w:rPr>
          <w:lang w:val="cs-CZ"/>
        </w:rPr>
        <w:t xml:space="preserve"> </w:t>
      </w:r>
      <w:r w:rsidR="15731C3A" w:rsidRPr="007F113B">
        <w:rPr>
          <w:lang w:val="cs-CZ"/>
        </w:rPr>
        <w:t xml:space="preserve">zaznamenala </w:t>
      </w:r>
      <w:r w:rsidRPr="007F113B">
        <w:rPr>
          <w:lang w:val="cs-CZ"/>
        </w:rPr>
        <w:t>logistik</w:t>
      </w:r>
      <w:r w:rsidR="2A4B3B94" w:rsidRPr="007F113B">
        <w:rPr>
          <w:lang w:val="cs-CZ"/>
        </w:rPr>
        <w:t>a</w:t>
      </w:r>
      <w:r w:rsidRPr="007F113B">
        <w:rPr>
          <w:lang w:val="cs-CZ"/>
        </w:rPr>
        <w:t xml:space="preserve"> nejvyšší nárůst mezi </w:t>
      </w:r>
      <w:r w:rsidR="160490ED" w:rsidRPr="006E47D4">
        <w:rPr>
          <w:lang w:val="cs-CZ"/>
        </w:rPr>
        <w:t xml:space="preserve">pět </w:t>
      </w:r>
      <w:r w:rsidRPr="007F113B">
        <w:rPr>
          <w:lang w:val="cs-CZ"/>
        </w:rPr>
        <w:t>nej</w:t>
      </w:r>
      <w:r w:rsidR="58FF0C39" w:rsidRPr="007F113B">
        <w:rPr>
          <w:lang w:val="cs-CZ"/>
        </w:rPr>
        <w:t>rychlejšíc</w:t>
      </w:r>
      <w:r w:rsidR="1FE8ADCE" w:rsidRPr="007F113B">
        <w:rPr>
          <w:lang w:val="cs-CZ"/>
        </w:rPr>
        <w:t>h</w:t>
      </w:r>
      <w:r w:rsidRPr="007F113B">
        <w:rPr>
          <w:lang w:val="cs-CZ"/>
        </w:rPr>
        <w:t xml:space="preserve"> v Evropě. Vše jde ruku v ruce s tím, jak málo </w:t>
      </w:r>
      <w:r w:rsidR="00E05F16" w:rsidRPr="007F113B">
        <w:rPr>
          <w:lang w:val="cs-CZ"/>
        </w:rPr>
        <w:t xml:space="preserve">se </w:t>
      </w:r>
      <w:r w:rsidR="1B0A52DC" w:rsidRPr="007F113B">
        <w:rPr>
          <w:lang w:val="cs-CZ"/>
        </w:rPr>
        <w:t xml:space="preserve">v České republice </w:t>
      </w:r>
      <w:r w:rsidRPr="007F113B">
        <w:rPr>
          <w:lang w:val="cs-CZ"/>
        </w:rPr>
        <w:t>staví. Nabídka nových komerčních prostor je omezená a nájemci za ně musí platit vyšší nájemné.</w:t>
      </w:r>
    </w:p>
    <w:p w14:paraId="3BEBA09A" w14:textId="77777777" w:rsidR="00AA2636" w:rsidRDefault="00AA2636" w:rsidP="00941EC4">
      <w:pPr>
        <w:pStyle w:val="BodyCopy"/>
        <w:jc w:val="both"/>
        <w:rPr>
          <w:lang w:val="cs-CZ"/>
        </w:rPr>
      </w:pPr>
    </w:p>
    <w:p w14:paraId="0A84F9D8" w14:textId="77777777" w:rsidR="000A0E03" w:rsidRPr="006E2DE9" w:rsidRDefault="000A0E03" w:rsidP="00941EC4">
      <w:pPr>
        <w:pStyle w:val="BodyCopy"/>
        <w:jc w:val="both"/>
        <w:rPr>
          <w:b/>
          <w:lang w:val="cs-CZ"/>
        </w:rPr>
      </w:pPr>
      <w:r w:rsidRPr="006E2DE9">
        <w:rPr>
          <w:b/>
          <w:lang w:val="cs-CZ"/>
        </w:rPr>
        <w:t>Vývoj yieldů u prémiových nemovitostí v čase</w:t>
      </w:r>
    </w:p>
    <w:p w14:paraId="2A71878C" w14:textId="4851364A" w:rsidR="000A0E03" w:rsidRDefault="000A0E03" w:rsidP="00941EC4">
      <w:pPr>
        <w:pStyle w:val="BodyCopy"/>
        <w:jc w:val="both"/>
        <w:rPr>
          <w:lang w:val="cs-CZ"/>
        </w:rPr>
      </w:pP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775"/>
        <w:gridCol w:w="1775"/>
        <w:gridCol w:w="1783"/>
        <w:gridCol w:w="1911"/>
      </w:tblGrid>
      <w:tr w:rsidR="004853F5" w14:paraId="51F2DD8D" w14:textId="77777777" w:rsidTr="004853F5"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48E5B" w14:textId="77777777" w:rsidR="004853F5" w:rsidRPr="00406E34" w:rsidRDefault="004853F5" w:rsidP="00941EC4">
            <w:pPr>
              <w:pStyle w:val="BodyCopy"/>
              <w:rPr>
                <w:lang w:val="cs-CZ"/>
              </w:rPr>
            </w:pPr>
            <w:r w:rsidRPr="00406E34">
              <w:rPr>
                <w:lang w:val="cs-CZ"/>
              </w:rPr>
              <w:t>Yieldy u prémiových nemovitostí / období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619A5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2020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28796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2021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6B9E" w14:textId="5F6465C8" w:rsidR="004853F5" w:rsidRPr="00406E34" w:rsidRDefault="005E7E7D" w:rsidP="00941EC4">
            <w:pPr>
              <w:pStyle w:val="BodyCopy"/>
              <w:rPr>
                <w:lang w:val="en-GB"/>
              </w:rPr>
            </w:pPr>
            <w:r>
              <w:rPr>
                <w:lang w:val="en-GB"/>
              </w:rPr>
              <w:t>Ke konci 1. </w:t>
            </w:r>
            <w:r w:rsidR="004853F5" w:rsidRPr="00406E34">
              <w:rPr>
                <w:lang w:val="en-GB"/>
              </w:rPr>
              <w:t>pololetí 2022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57C6A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Prognóza k závěru letošního roku</w:t>
            </w:r>
          </w:p>
        </w:tc>
      </w:tr>
      <w:tr w:rsidR="004853F5" w14:paraId="017E54A7" w14:textId="77777777" w:rsidTr="004853F5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4B67" w14:textId="77777777" w:rsidR="004853F5" w:rsidRPr="00406E34" w:rsidRDefault="004853F5" w:rsidP="00941EC4">
            <w:pPr>
              <w:pStyle w:val="BodyCopy"/>
              <w:rPr>
                <w:lang w:val="cs-CZ"/>
              </w:rPr>
            </w:pPr>
            <w:r w:rsidRPr="00406E34">
              <w:rPr>
                <w:lang w:val="cs-CZ"/>
              </w:rPr>
              <w:t>Kanceláře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9ED0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4,25 %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856BA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4,25 %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C3C9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4,25 %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C1EC" w14:textId="68435A8A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4,50</w:t>
            </w:r>
            <w:r w:rsidR="00406E34" w:rsidRPr="00406E34">
              <w:rPr>
                <w:lang w:val="en-GB"/>
              </w:rPr>
              <w:t xml:space="preserve"> – 4,75</w:t>
            </w:r>
            <w:r w:rsidRPr="00406E34">
              <w:rPr>
                <w:lang w:val="en-GB"/>
              </w:rPr>
              <w:t xml:space="preserve"> %</w:t>
            </w:r>
          </w:p>
        </w:tc>
      </w:tr>
      <w:tr w:rsidR="004853F5" w14:paraId="7DF069C6" w14:textId="77777777" w:rsidTr="004853F5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23CF1" w14:textId="77777777" w:rsidR="004853F5" w:rsidRPr="00406E34" w:rsidRDefault="004853F5" w:rsidP="00941EC4">
            <w:pPr>
              <w:pStyle w:val="BodyCopy"/>
              <w:rPr>
                <w:lang w:val="cs-CZ"/>
              </w:rPr>
            </w:pPr>
            <w:r w:rsidRPr="00406E34">
              <w:rPr>
                <w:lang w:val="cs-CZ"/>
              </w:rPr>
              <w:t>Logistické / industriální parky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8E52F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5 %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D1624" w14:textId="77777777" w:rsidR="004853F5" w:rsidRPr="00406E34" w:rsidRDefault="004853F5" w:rsidP="00941EC4">
            <w:pPr>
              <w:pStyle w:val="BodyCopy"/>
              <w:spacing w:line="360" w:lineRule="auto"/>
              <w:rPr>
                <w:lang w:val="en-GB"/>
              </w:rPr>
            </w:pPr>
            <w:r w:rsidRPr="00406E34">
              <w:rPr>
                <w:lang w:val="en-GB"/>
              </w:rPr>
              <w:t>4,25 %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234A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4 %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1C147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4,25 – 4,50 %</w:t>
            </w:r>
          </w:p>
        </w:tc>
      </w:tr>
      <w:tr w:rsidR="004853F5" w14:paraId="78880C18" w14:textId="77777777" w:rsidTr="004853F5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6DED9" w14:textId="77777777" w:rsidR="004853F5" w:rsidRPr="00406E34" w:rsidRDefault="004853F5" w:rsidP="00941EC4">
            <w:pPr>
              <w:pStyle w:val="BodyCopy"/>
              <w:rPr>
                <w:lang w:val="cs-CZ"/>
              </w:rPr>
            </w:pPr>
            <w:r w:rsidRPr="00406E34">
              <w:rPr>
                <w:lang w:val="cs-CZ"/>
              </w:rPr>
              <w:t>Obchodní centra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DF83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5,75 %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E4C4D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5,75 %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0A28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5,75 %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4E64" w14:textId="6FA48FB9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6</w:t>
            </w:r>
            <w:r w:rsidR="00406E34" w:rsidRPr="00406E34">
              <w:rPr>
                <w:lang w:val="en-GB"/>
              </w:rPr>
              <w:t>,00</w:t>
            </w:r>
            <w:r w:rsidRPr="00406E34">
              <w:rPr>
                <w:lang w:val="en-GB"/>
              </w:rPr>
              <w:t xml:space="preserve"> </w:t>
            </w:r>
            <w:r w:rsidR="00406E34" w:rsidRPr="00406E34">
              <w:rPr>
                <w:lang w:val="en-GB"/>
              </w:rPr>
              <w:t>– 6,25 %</w:t>
            </w:r>
          </w:p>
        </w:tc>
      </w:tr>
      <w:tr w:rsidR="004853F5" w14:paraId="6E7968BA" w14:textId="77777777" w:rsidTr="004853F5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F6A6" w14:textId="77777777" w:rsidR="004853F5" w:rsidRPr="00406E34" w:rsidRDefault="004853F5" w:rsidP="00941EC4">
            <w:pPr>
              <w:pStyle w:val="BodyCopy"/>
              <w:rPr>
                <w:lang w:val="cs-CZ"/>
              </w:rPr>
            </w:pPr>
            <w:r w:rsidRPr="00406E34">
              <w:rPr>
                <w:lang w:val="cs-CZ"/>
              </w:rPr>
              <w:t>Retail parky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F094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6.25 %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5965" w14:textId="488893C9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6</w:t>
            </w:r>
            <w:r w:rsidR="00116632">
              <w:rPr>
                <w:lang w:val="en-GB"/>
              </w:rPr>
              <w:t xml:space="preserve"> </w:t>
            </w:r>
            <w:r w:rsidRPr="00406E34">
              <w:rPr>
                <w:lang w:val="en-GB"/>
              </w:rPr>
              <w:t>%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6CCE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6 %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F114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6 % *</w:t>
            </w:r>
          </w:p>
        </w:tc>
      </w:tr>
      <w:tr w:rsidR="004853F5" w14:paraId="03220DA9" w14:textId="77777777" w:rsidTr="004853F5"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86F4" w14:textId="77777777" w:rsidR="004853F5" w:rsidRPr="00406E34" w:rsidRDefault="004853F5" w:rsidP="00941EC4">
            <w:pPr>
              <w:pStyle w:val="BodyCopy"/>
              <w:rPr>
                <w:lang w:val="cs-CZ"/>
              </w:rPr>
            </w:pPr>
            <w:r w:rsidRPr="00406E34">
              <w:rPr>
                <w:lang w:val="cs-CZ"/>
              </w:rPr>
              <w:t>High street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2151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4,25 %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42919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4,25 %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638C" w14:textId="77777777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>4,25 %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C5ED" w14:textId="0B8BC932" w:rsidR="004853F5" w:rsidRPr="00406E34" w:rsidRDefault="004853F5" w:rsidP="00941EC4">
            <w:pPr>
              <w:pStyle w:val="BodyCopy"/>
              <w:rPr>
                <w:lang w:val="en-GB"/>
              </w:rPr>
            </w:pPr>
            <w:r w:rsidRPr="00406E34">
              <w:rPr>
                <w:lang w:val="en-GB"/>
              </w:rPr>
              <w:t xml:space="preserve">4,50 </w:t>
            </w:r>
            <w:r w:rsidR="00406E34" w:rsidRPr="00406E34">
              <w:rPr>
                <w:lang w:val="en-GB"/>
              </w:rPr>
              <w:t xml:space="preserve">– 4,75 </w:t>
            </w:r>
            <w:r w:rsidRPr="00406E34">
              <w:rPr>
                <w:lang w:val="en-GB"/>
              </w:rPr>
              <w:t xml:space="preserve">% </w:t>
            </w:r>
          </w:p>
        </w:tc>
      </w:tr>
    </w:tbl>
    <w:p w14:paraId="07BE6E08" w14:textId="44AD43FD" w:rsidR="000A0E03" w:rsidRPr="006E2DE9" w:rsidRDefault="000A0E03" w:rsidP="00941EC4">
      <w:pPr>
        <w:pStyle w:val="BodyCopy"/>
        <w:jc w:val="both"/>
        <w:rPr>
          <w:sz w:val="20"/>
          <w:szCs w:val="20"/>
          <w:lang w:val="cs-CZ"/>
        </w:rPr>
      </w:pPr>
      <w:r w:rsidRPr="006E2DE9">
        <w:rPr>
          <w:sz w:val="20"/>
          <w:szCs w:val="20"/>
          <w:lang w:val="cs-CZ"/>
        </w:rPr>
        <w:t xml:space="preserve">*Poznámka: Zatímco yieldy půjdou ve druhé polovině letošního roku nahoru o </w:t>
      </w:r>
      <w:r w:rsidR="00E05F16">
        <w:rPr>
          <w:sz w:val="20"/>
          <w:szCs w:val="20"/>
          <w:lang w:val="cs-CZ"/>
        </w:rPr>
        <w:t xml:space="preserve">cca </w:t>
      </w:r>
      <w:r w:rsidRPr="006E2DE9">
        <w:rPr>
          <w:sz w:val="20"/>
          <w:szCs w:val="20"/>
          <w:lang w:val="cs-CZ"/>
        </w:rPr>
        <w:t>25</w:t>
      </w:r>
      <w:r w:rsidR="00406E34">
        <w:rPr>
          <w:sz w:val="20"/>
          <w:szCs w:val="20"/>
          <w:lang w:val="cs-CZ"/>
        </w:rPr>
        <w:t>-50</w:t>
      </w:r>
      <w:r w:rsidRPr="006E2DE9">
        <w:rPr>
          <w:sz w:val="20"/>
          <w:szCs w:val="20"/>
          <w:lang w:val="cs-CZ"/>
        </w:rPr>
        <w:t xml:space="preserve"> bazických bodů napříč </w:t>
      </w:r>
      <w:r w:rsidR="00AA2636">
        <w:rPr>
          <w:sz w:val="20"/>
          <w:szCs w:val="20"/>
          <w:lang w:val="cs-CZ"/>
        </w:rPr>
        <w:t xml:space="preserve">všemi </w:t>
      </w:r>
      <w:r w:rsidRPr="006E2DE9">
        <w:rPr>
          <w:sz w:val="20"/>
          <w:szCs w:val="20"/>
          <w:lang w:val="cs-CZ"/>
        </w:rPr>
        <w:t>kategori</w:t>
      </w:r>
      <w:r w:rsidR="006E6ECF">
        <w:rPr>
          <w:sz w:val="20"/>
          <w:szCs w:val="20"/>
          <w:lang w:val="cs-CZ"/>
        </w:rPr>
        <w:t>emi, retailové parky jsou</w:t>
      </w:r>
      <w:r w:rsidRPr="006E2DE9">
        <w:rPr>
          <w:sz w:val="20"/>
          <w:szCs w:val="20"/>
          <w:lang w:val="cs-CZ"/>
        </w:rPr>
        <w:t xml:space="preserve"> výjimk</w:t>
      </w:r>
      <w:r w:rsidR="006E6ECF">
        <w:rPr>
          <w:sz w:val="20"/>
          <w:szCs w:val="20"/>
          <w:lang w:val="cs-CZ"/>
        </w:rPr>
        <w:t>o</w:t>
      </w:r>
      <w:r w:rsidRPr="006E2DE9">
        <w:rPr>
          <w:sz w:val="20"/>
          <w:szCs w:val="20"/>
          <w:lang w:val="cs-CZ"/>
        </w:rPr>
        <w:t>u. Během pandemie covidu-19 se prokázaly jako mimořádně odolné</w:t>
      </w:r>
      <w:r w:rsidR="00AA2636">
        <w:rPr>
          <w:sz w:val="20"/>
          <w:szCs w:val="20"/>
          <w:lang w:val="cs-CZ"/>
        </w:rPr>
        <w:t xml:space="preserve"> aktivum. Navíc</w:t>
      </w:r>
      <w:r w:rsidR="003B3945">
        <w:rPr>
          <w:sz w:val="20"/>
          <w:szCs w:val="20"/>
          <w:lang w:val="cs-CZ"/>
        </w:rPr>
        <w:t> </w:t>
      </w:r>
      <w:r w:rsidR="00AA2636">
        <w:rPr>
          <w:sz w:val="20"/>
          <w:szCs w:val="20"/>
          <w:lang w:val="cs-CZ"/>
        </w:rPr>
        <w:t xml:space="preserve">v době rostoucí inflace lze očekávat, že </w:t>
      </w:r>
      <w:r w:rsidR="00AA2636" w:rsidRPr="006E2DE9">
        <w:rPr>
          <w:sz w:val="20"/>
          <w:szCs w:val="20"/>
          <w:lang w:val="cs-CZ"/>
        </w:rPr>
        <w:t>lidé budou mít méně zbytkového příjmu na útraty, takže discountovým nájemcům se bude dařit</w:t>
      </w:r>
      <w:r w:rsidR="00950864">
        <w:rPr>
          <w:sz w:val="20"/>
          <w:szCs w:val="20"/>
          <w:lang w:val="cs-CZ"/>
        </w:rPr>
        <w:t xml:space="preserve">. To </w:t>
      </w:r>
      <w:r w:rsidRPr="006E2DE9">
        <w:rPr>
          <w:sz w:val="20"/>
          <w:szCs w:val="20"/>
          <w:lang w:val="cs-CZ"/>
        </w:rPr>
        <w:t>vyvolá další zájem investorů o tento produkt.</w:t>
      </w:r>
    </w:p>
    <w:p w14:paraId="38166187" w14:textId="4DA85793" w:rsidR="00BA3ACA" w:rsidRPr="003F62E1" w:rsidRDefault="00BA3ACA" w:rsidP="00941EC4">
      <w:pPr>
        <w:pStyle w:val="BodyCopy"/>
        <w:jc w:val="both"/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66CF" w:rsidRPr="003F62E1" w14:paraId="56F7855A" w14:textId="77777777" w:rsidTr="00CE66CF">
        <w:tc>
          <w:tcPr>
            <w:tcW w:w="4531" w:type="dxa"/>
          </w:tcPr>
          <w:p w14:paraId="70FC46D6" w14:textId="77777777" w:rsidR="00CE66CF" w:rsidRPr="003F62E1" w:rsidRDefault="00CE66CF" w:rsidP="00941EC4">
            <w:pPr>
              <w:jc w:val="both"/>
            </w:pPr>
            <w:r w:rsidRPr="003F62E1">
              <w:rPr>
                <w:b/>
                <w:bCs/>
                <w:color w:val="425254"/>
              </w:rPr>
              <w:t>Kontakty:</w:t>
            </w:r>
          </w:p>
        </w:tc>
        <w:tc>
          <w:tcPr>
            <w:tcW w:w="4531" w:type="dxa"/>
          </w:tcPr>
          <w:p w14:paraId="19366619" w14:textId="77777777" w:rsidR="00CE66CF" w:rsidRPr="003F62E1" w:rsidRDefault="00CE66CF" w:rsidP="00941EC4">
            <w:pPr>
              <w:jc w:val="both"/>
            </w:pPr>
          </w:p>
        </w:tc>
      </w:tr>
      <w:tr w:rsidR="00CE66CF" w:rsidRPr="003F62E1" w14:paraId="62638371" w14:textId="77777777" w:rsidTr="00CE66CF">
        <w:tc>
          <w:tcPr>
            <w:tcW w:w="4531" w:type="dxa"/>
          </w:tcPr>
          <w:p w14:paraId="70C3B757" w14:textId="77777777" w:rsidR="00CE66CF" w:rsidRPr="003F62E1" w:rsidRDefault="00CE66CF" w:rsidP="00941EC4">
            <w:pPr>
              <w:jc w:val="both"/>
            </w:pPr>
            <w:r w:rsidRPr="003F62E1">
              <w:rPr>
                <w:b/>
                <w:bCs/>
                <w:color w:val="425254"/>
              </w:rPr>
              <w:t>Crest Communications, a.s.</w:t>
            </w:r>
          </w:p>
        </w:tc>
        <w:tc>
          <w:tcPr>
            <w:tcW w:w="4531" w:type="dxa"/>
          </w:tcPr>
          <w:p w14:paraId="1F5D8928" w14:textId="77777777" w:rsidR="00CE66CF" w:rsidRPr="003F62E1" w:rsidRDefault="00CE66CF" w:rsidP="00941EC4">
            <w:pPr>
              <w:jc w:val="both"/>
            </w:pPr>
          </w:p>
        </w:tc>
      </w:tr>
      <w:tr w:rsidR="00CE66CF" w:rsidRPr="003F62E1" w14:paraId="493A204C" w14:textId="77777777" w:rsidTr="00CE66CF">
        <w:tc>
          <w:tcPr>
            <w:tcW w:w="4531" w:type="dxa"/>
          </w:tcPr>
          <w:p w14:paraId="1EB683EF" w14:textId="77777777" w:rsidR="00CE66CF" w:rsidRPr="003F62E1" w:rsidRDefault="00CE66CF" w:rsidP="00941EC4">
            <w:pPr>
              <w:jc w:val="both"/>
            </w:pPr>
            <w:r w:rsidRPr="003F62E1">
              <w:rPr>
                <w:color w:val="425254"/>
              </w:rPr>
              <w:t>Denisa Kolaříková</w:t>
            </w:r>
          </w:p>
        </w:tc>
        <w:tc>
          <w:tcPr>
            <w:tcW w:w="4531" w:type="dxa"/>
          </w:tcPr>
          <w:p w14:paraId="5AF0214B" w14:textId="77777777" w:rsidR="00CE66CF" w:rsidRPr="003F62E1" w:rsidRDefault="00CE66CF" w:rsidP="00941EC4">
            <w:pPr>
              <w:jc w:val="both"/>
            </w:pPr>
            <w:r w:rsidRPr="003F62E1">
              <w:rPr>
                <w:color w:val="425254"/>
              </w:rPr>
              <w:t>Kamila Čadková</w:t>
            </w:r>
          </w:p>
        </w:tc>
      </w:tr>
      <w:tr w:rsidR="00CE66CF" w:rsidRPr="003F62E1" w14:paraId="53B9E114" w14:textId="77777777" w:rsidTr="00CE66CF">
        <w:tc>
          <w:tcPr>
            <w:tcW w:w="4531" w:type="dxa"/>
          </w:tcPr>
          <w:p w14:paraId="55F5EC95" w14:textId="77777777" w:rsidR="00CE66CF" w:rsidRPr="003F62E1" w:rsidRDefault="00CE66CF" w:rsidP="00941EC4">
            <w:pPr>
              <w:jc w:val="both"/>
            </w:pPr>
            <w:r w:rsidRPr="003F62E1">
              <w:rPr>
                <w:color w:val="425254"/>
              </w:rPr>
              <w:t>Account Manager</w:t>
            </w:r>
          </w:p>
        </w:tc>
        <w:tc>
          <w:tcPr>
            <w:tcW w:w="4531" w:type="dxa"/>
          </w:tcPr>
          <w:p w14:paraId="5681FC53" w14:textId="77777777" w:rsidR="00CE66CF" w:rsidRPr="003F62E1" w:rsidRDefault="00CE66CF" w:rsidP="00941EC4">
            <w:pPr>
              <w:jc w:val="both"/>
            </w:pPr>
            <w:r w:rsidRPr="003F62E1">
              <w:rPr>
                <w:color w:val="425254"/>
              </w:rPr>
              <w:t>Account Director</w:t>
            </w:r>
          </w:p>
        </w:tc>
      </w:tr>
      <w:tr w:rsidR="00CE66CF" w:rsidRPr="003F62E1" w14:paraId="58753792" w14:textId="77777777" w:rsidTr="00CE66CF">
        <w:tc>
          <w:tcPr>
            <w:tcW w:w="4531" w:type="dxa"/>
          </w:tcPr>
          <w:p w14:paraId="1CFCAFCF" w14:textId="77777777" w:rsidR="00CE66CF" w:rsidRPr="003F62E1" w:rsidRDefault="00CE66CF" w:rsidP="00941EC4">
            <w:pPr>
              <w:jc w:val="both"/>
            </w:pPr>
            <w:r w:rsidRPr="003F62E1">
              <w:rPr>
                <w:color w:val="425254"/>
              </w:rPr>
              <w:t>T: +420 731 613 606</w:t>
            </w:r>
          </w:p>
        </w:tc>
        <w:tc>
          <w:tcPr>
            <w:tcW w:w="4531" w:type="dxa"/>
          </w:tcPr>
          <w:p w14:paraId="24F14F20" w14:textId="77777777" w:rsidR="00CE66CF" w:rsidRPr="003F62E1" w:rsidRDefault="00CE66CF" w:rsidP="00941EC4">
            <w:pPr>
              <w:jc w:val="both"/>
            </w:pPr>
            <w:r w:rsidRPr="003F62E1">
              <w:rPr>
                <w:color w:val="425254"/>
              </w:rPr>
              <w:t>T: +420 731 613 609</w:t>
            </w:r>
          </w:p>
        </w:tc>
      </w:tr>
      <w:tr w:rsidR="00CE66CF" w:rsidRPr="004853F5" w14:paraId="13CC64EA" w14:textId="77777777" w:rsidTr="00CE66CF">
        <w:tc>
          <w:tcPr>
            <w:tcW w:w="4531" w:type="dxa"/>
          </w:tcPr>
          <w:p w14:paraId="23E1B7AE" w14:textId="77777777" w:rsidR="00CE66CF" w:rsidRPr="003F62E1" w:rsidRDefault="00CE66CF" w:rsidP="00941EC4">
            <w:pPr>
              <w:jc w:val="both"/>
            </w:pPr>
            <w:r w:rsidRPr="003F62E1">
              <w:rPr>
                <w:color w:val="425254"/>
              </w:rPr>
              <w:t xml:space="preserve">e-mail: </w:t>
            </w:r>
            <w:hyperlink r:id="rId11" w:history="1">
              <w:r w:rsidRPr="003F62E1">
                <w:rPr>
                  <w:color w:val="80BBAD"/>
                  <w:u w:val="single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2550474F" w14:textId="77777777" w:rsidR="00CE66CF" w:rsidRPr="003F62E1" w:rsidRDefault="00CE66CF" w:rsidP="00941EC4">
            <w:pPr>
              <w:jc w:val="both"/>
            </w:pPr>
            <w:r w:rsidRPr="003F62E1">
              <w:rPr>
                <w:color w:val="425254"/>
              </w:rPr>
              <w:t xml:space="preserve">e-mail: </w:t>
            </w:r>
            <w:hyperlink r:id="rId12" w:history="1">
              <w:r w:rsidRPr="003F62E1">
                <w:rPr>
                  <w:color w:val="80BBAD"/>
                  <w:u w:val="single"/>
                </w:rPr>
                <w:t>kamila.cadkova@crestcom.cz</w:t>
              </w:r>
            </w:hyperlink>
          </w:p>
        </w:tc>
      </w:tr>
      <w:tr w:rsidR="00CE66CF" w:rsidRPr="003F62E1" w14:paraId="6066D80F" w14:textId="77777777" w:rsidTr="00CE66CF">
        <w:tc>
          <w:tcPr>
            <w:tcW w:w="4531" w:type="dxa"/>
          </w:tcPr>
          <w:p w14:paraId="234815DD" w14:textId="77777777" w:rsidR="00CE66CF" w:rsidRPr="003F62E1" w:rsidRDefault="005E7E7D" w:rsidP="00941EC4">
            <w:pPr>
              <w:spacing w:line="300" w:lineRule="exact"/>
              <w:jc w:val="both"/>
              <w:rPr>
                <w:color w:val="425254"/>
              </w:rPr>
            </w:pPr>
            <w:hyperlink r:id="rId13" w:history="1">
              <w:r w:rsidR="00CE66CF" w:rsidRPr="003F62E1">
                <w:rPr>
                  <w:color w:val="80BBAD"/>
                  <w:u w:val="single"/>
                </w:rPr>
                <w:t>www.crestcom.cz</w:t>
              </w:r>
            </w:hyperlink>
          </w:p>
        </w:tc>
        <w:tc>
          <w:tcPr>
            <w:tcW w:w="4531" w:type="dxa"/>
          </w:tcPr>
          <w:p w14:paraId="1F7B833F" w14:textId="77777777" w:rsidR="00CE66CF" w:rsidRPr="003F62E1" w:rsidRDefault="00CE66CF" w:rsidP="00941EC4">
            <w:pPr>
              <w:jc w:val="both"/>
            </w:pPr>
          </w:p>
        </w:tc>
      </w:tr>
    </w:tbl>
    <w:p w14:paraId="4E84B64B" w14:textId="77777777" w:rsidR="00116632" w:rsidRDefault="00116632" w:rsidP="00941EC4">
      <w:pPr>
        <w:pStyle w:val="Contact"/>
        <w:jc w:val="both"/>
        <w:rPr>
          <w:lang w:val="cs-CZ"/>
        </w:rPr>
      </w:pPr>
      <w:bookmarkStart w:id="2" w:name="_GoBack"/>
      <w:bookmarkEnd w:id="2"/>
    </w:p>
    <w:p w14:paraId="34067123" w14:textId="77777777" w:rsidR="003B0B9B" w:rsidRPr="003F62E1" w:rsidRDefault="003B0B9B" w:rsidP="00941EC4">
      <w:pPr>
        <w:pStyle w:val="Contact"/>
        <w:jc w:val="both"/>
        <w:rPr>
          <w:lang w:val="cs-CZ"/>
        </w:rPr>
      </w:pPr>
      <w:r w:rsidRPr="003F62E1">
        <w:rPr>
          <w:lang w:val="cs-CZ"/>
        </w:rPr>
        <w:lastRenderedPageBreak/>
        <w:t>CBRE</w:t>
      </w:r>
    </w:p>
    <w:p w14:paraId="762F2BC5" w14:textId="77777777" w:rsidR="003B0B9B" w:rsidRPr="003F62E1" w:rsidRDefault="003B0B9B" w:rsidP="00941EC4">
      <w:pPr>
        <w:pStyle w:val="Contact"/>
        <w:jc w:val="both"/>
        <w:rPr>
          <w:b w:val="0"/>
          <w:bCs w:val="0"/>
          <w:lang w:val="cs-CZ"/>
        </w:rPr>
      </w:pPr>
      <w:r w:rsidRPr="003F62E1">
        <w:rPr>
          <w:b w:val="0"/>
          <w:bCs w:val="0"/>
          <w:lang w:val="cs-CZ"/>
        </w:rPr>
        <w:t xml:space="preserve">Renata Mrázová, Senior Communication Specialist, +420 604 308 765, </w:t>
      </w:r>
      <w:hyperlink r:id="rId14" w:history="1">
        <w:r w:rsidRPr="003F62E1">
          <w:rPr>
            <w:rStyle w:val="Hypertextovodkaz"/>
            <w:b w:val="0"/>
            <w:bCs w:val="0"/>
            <w:lang w:val="cs-CZ"/>
          </w:rPr>
          <w:t>renata.mrazova@cbre.com</w:t>
        </w:r>
      </w:hyperlink>
      <w:r w:rsidRPr="003F62E1">
        <w:rPr>
          <w:b w:val="0"/>
          <w:bCs w:val="0"/>
          <w:lang w:val="cs-CZ"/>
        </w:rPr>
        <w:t xml:space="preserve"> </w:t>
      </w:r>
    </w:p>
    <w:p w14:paraId="0AAF1F87" w14:textId="04D11DDC" w:rsidR="003B0B9B" w:rsidRPr="003F62E1" w:rsidRDefault="003B0B9B" w:rsidP="00941EC4">
      <w:pPr>
        <w:pStyle w:val="Contact"/>
        <w:jc w:val="both"/>
        <w:rPr>
          <w:b w:val="0"/>
          <w:bCs w:val="0"/>
          <w:lang w:val="cs-CZ"/>
        </w:rPr>
      </w:pPr>
      <w:r w:rsidRPr="003F62E1">
        <w:rPr>
          <w:b w:val="0"/>
          <w:bCs w:val="0"/>
          <w:lang w:val="cs-CZ"/>
        </w:rPr>
        <w:t xml:space="preserve">CBRE </w:t>
      </w:r>
      <w:r w:rsidR="00BA3ACA" w:rsidRPr="003F62E1">
        <w:rPr>
          <w:b w:val="0"/>
          <w:bCs w:val="0"/>
          <w:lang w:val="cs-CZ"/>
        </w:rPr>
        <w:t>Česká republika</w:t>
      </w:r>
      <w:r w:rsidRPr="003F62E1">
        <w:rPr>
          <w:rStyle w:val="normaltextrun"/>
          <w:b w:val="0"/>
          <w:bCs w:val="0"/>
          <w:color w:val="1F497D"/>
          <w:lang w:val="cs-CZ"/>
        </w:rPr>
        <w:t> </w:t>
      </w:r>
      <w:hyperlink r:id="rId15" w:tgtFrame="_blank" w:history="1">
        <w:r w:rsidRPr="003F62E1">
          <w:rPr>
            <w:rStyle w:val="normaltextrun"/>
            <w:b w:val="0"/>
            <w:bCs w:val="0"/>
            <w:color w:val="7FBBAD" w:themeColor="background2"/>
            <w:u w:val="single"/>
            <w:lang w:val="cs-CZ"/>
          </w:rPr>
          <w:t>Facebook</w:t>
        </w:r>
      </w:hyperlink>
      <w:r w:rsidRPr="003F62E1">
        <w:rPr>
          <w:rStyle w:val="normaltextrun"/>
          <w:b w:val="0"/>
          <w:bCs w:val="0"/>
          <w:color w:val="7FBBAD" w:themeColor="background2"/>
          <w:u w:val="single"/>
          <w:lang w:val="cs-CZ"/>
        </w:rPr>
        <w:t>,</w:t>
      </w:r>
      <w:r w:rsidRPr="003F62E1">
        <w:rPr>
          <w:rStyle w:val="normaltextrun"/>
          <w:b w:val="0"/>
          <w:bCs w:val="0"/>
          <w:color w:val="7FBBAD" w:themeColor="background2"/>
          <w:lang w:val="cs-CZ"/>
        </w:rPr>
        <w:t> </w:t>
      </w:r>
      <w:hyperlink r:id="rId16" w:tgtFrame="_blank" w:history="1">
        <w:r w:rsidRPr="003F62E1">
          <w:rPr>
            <w:rStyle w:val="normaltextrun"/>
            <w:b w:val="0"/>
            <w:bCs w:val="0"/>
            <w:color w:val="7FBBAD" w:themeColor="background2"/>
            <w:u w:val="single"/>
            <w:lang w:val="cs-CZ"/>
          </w:rPr>
          <w:t>Linkedin</w:t>
        </w:r>
      </w:hyperlink>
      <w:r w:rsidRPr="003F62E1">
        <w:rPr>
          <w:rStyle w:val="normaltextrun"/>
          <w:b w:val="0"/>
          <w:bCs w:val="0"/>
          <w:color w:val="7FBBAD" w:themeColor="background2"/>
          <w:lang w:val="cs-CZ"/>
        </w:rPr>
        <w:t>, </w:t>
      </w:r>
      <w:hyperlink r:id="rId17" w:tgtFrame="_blank" w:history="1">
        <w:r w:rsidRPr="003F62E1">
          <w:rPr>
            <w:rStyle w:val="normaltextrun"/>
            <w:b w:val="0"/>
            <w:bCs w:val="0"/>
            <w:color w:val="7FBBAD" w:themeColor="background2"/>
            <w:u w:val="single"/>
            <w:lang w:val="cs-CZ"/>
          </w:rPr>
          <w:t>Instagram</w:t>
        </w:r>
      </w:hyperlink>
    </w:p>
    <w:p w14:paraId="65F0B138" w14:textId="77777777" w:rsidR="00DC0226" w:rsidRPr="003F62E1" w:rsidRDefault="00DC0226" w:rsidP="00941EC4">
      <w:pPr>
        <w:pStyle w:val="BodyCopy"/>
        <w:jc w:val="both"/>
        <w:rPr>
          <w:lang w:val="cs-CZ"/>
        </w:rPr>
      </w:pPr>
    </w:p>
    <w:p w14:paraId="1B5BDB19" w14:textId="77777777" w:rsidR="00BA3ACA" w:rsidRPr="003F62E1" w:rsidRDefault="00BA3ACA" w:rsidP="00941EC4">
      <w:pPr>
        <w:pStyle w:val="Boilerplate"/>
        <w:jc w:val="both"/>
        <w:rPr>
          <w:u w:val="single"/>
          <w:lang w:val="cs-CZ"/>
        </w:rPr>
      </w:pPr>
      <w:r w:rsidRPr="003F62E1">
        <w:rPr>
          <w:u w:val="single"/>
          <w:lang w:val="cs-CZ"/>
        </w:rPr>
        <w:t>O CBRE:</w:t>
      </w:r>
    </w:p>
    <w:p w14:paraId="2DF11FFB" w14:textId="6A966FBE" w:rsidR="00BA3ACA" w:rsidRPr="003F62E1" w:rsidRDefault="00BA3ACA" w:rsidP="00941EC4">
      <w:pPr>
        <w:pStyle w:val="Boilerplate"/>
        <w:jc w:val="both"/>
        <w:rPr>
          <w:lang w:val="cs-CZ"/>
        </w:rPr>
      </w:pPr>
      <w:r w:rsidRPr="003F62E1">
        <w:rPr>
          <w:lang w:val="cs-CZ"/>
        </w:rPr>
        <w:t>CBRE Group, společnost figurující na žebříčku Fortune 500 a indexu S&amp;P 500 se sídlem v Dallasu, je světovou vedoucí společností v oblasti realitních služeb a investic (z hlediska výnosů za rok 202</w:t>
      </w:r>
      <w:r w:rsidR="006E2DE9">
        <w:rPr>
          <w:lang w:val="cs-CZ"/>
        </w:rPr>
        <w:t>1</w:t>
      </w:r>
      <w:r w:rsidRPr="003F62E1">
        <w:rPr>
          <w:lang w:val="cs-CZ"/>
        </w:rPr>
        <w:t>). S</w:t>
      </w:r>
      <w:r w:rsidRPr="003F62E1">
        <w:rPr>
          <w:rFonts w:ascii="Arial" w:hAnsi="Arial" w:cs="Arial"/>
          <w:lang w:val="cs-CZ"/>
        </w:rPr>
        <w:t> </w:t>
      </w:r>
      <w:r w:rsidRPr="003F62E1">
        <w:rPr>
          <w:lang w:val="cs-CZ"/>
        </w:rPr>
        <w:t>v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ce ne</w:t>
      </w:r>
      <w:r w:rsidRPr="003F62E1">
        <w:rPr>
          <w:rFonts w:cs="Calibre"/>
          <w:lang w:val="cs-CZ"/>
        </w:rPr>
        <w:t>ž</w:t>
      </w:r>
      <w:r w:rsidRPr="003F62E1">
        <w:rPr>
          <w:lang w:val="cs-CZ"/>
        </w:rPr>
        <w:t xml:space="preserve"> 100 000 zam</w:t>
      </w:r>
      <w:r w:rsidRPr="003F62E1">
        <w:rPr>
          <w:rFonts w:cs="Calibre"/>
          <w:lang w:val="cs-CZ"/>
        </w:rPr>
        <w:t>ě</w:t>
      </w:r>
      <w:r w:rsidRPr="003F62E1">
        <w:rPr>
          <w:lang w:val="cs-CZ"/>
        </w:rPr>
        <w:t>stnanci poskytuje slu</w:t>
      </w:r>
      <w:r w:rsidRPr="003F62E1">
        <w:rPr>
          <w:rFonts w:cs="Calibre"/>
          <w:lang w:val="cs-CZ"/>
        </w:rPr>
        <w:t>ž</w:t>
      </w:r>
      <w:r w:rsidRPr="003F62E1">
        <w:rPr>
          <w:lang w:val="cs-CZ"/>
        </w:rPr>
        <w:t>by majitel</w:t>
      </w:r>
      <w:r w:rsidRPr="003F62E1">
        <w:rPr>
          <w:rFonts w:cs="Calibre"/>
          <w:lang w:val="cs-CZ"/>
        </w:rPr>
        <w:t>ů</w:t>
      </w:r>
      <w:r w:rsidRPr="003F62E1">
        <w:rPr>
          <w:lang w:val="cs-CZ"/>
        </w:rPr>
        <w:t>m nemovitost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, investor</w:t>
      </w:r>
      <w:r w:rsidRPr="003F62E1">
        <w:rPr>
          <w:rFonts w:cs="Calibre"/>
          <w:lang w:val="cs-CZ"/>
        </w:rPr>
        <w:t>ů</w:t>
      </w:r>
      <w:r w:rsidRPr="003F62E1">
        <w:rPr>
          <w:lang w:val="cs-CZ"/>
        </w:rPr>
        <w:t>m a n</w:t>
      </w:r>
      <w:r w:rsidRPr="003F62E1">
        <w:rPr>
          <w:rFonts w:cs="Calibre"/>
          <w:lang w:val="cs-CZ"/>
        </w:rPr>
        <w:t>á</w:t>
      </w:r>
      <w:r w:rsidRPr="003F62E1">
        <w:rPr>
          <w:lang w:val="cs-CZ"/>
        </w:rPr>
        <w:t>jemn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k</w:t>
      </w:r>
      <w:r w:rsidRPr="003F62E1">
        <w:rPr>
          <w:rFonts w:cs="Calibre"/>
          <w:lang w:val="cs-CZ"/>
        </w:rPr>
        <w:t>ů</w:t>
      </w:r>
      <w:r w:rsidRPr="003F62E1">
        <w:rPr>
          <w:lang w:val="cs-CZ"/>
        </w:rPr>
        <w:t>m ve v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ce ne</w:t>
      </w:r>
      <w:r w:rsidRPr="003F62E1">
        <w:rPr>
          <w:rFonts w:cs="Calibre"/>
          <w:lang w:val="cs-CZ"/>
        </w:rPr>
        <w:t>ž</w:t>
      </w:r>
      <w:r w:rsidRPr="003F62E1">
        <w:rPr>
          <w:lang w:val="cs-CZ"/>
        </w:rPr>
        <w:t xml:space="preserve"> 100 zem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ch sv</w:t>
      </w:r>
      <w:r w:rsidRPr="003F62E1">
        <w:rPr>
          <w:rFonts w:cs="Calibre"/>
          <w:lang w:val="cs-CZ"/>
        </w:rPr>
        <w:t>ě</w:t>
      </w:r>
      <w:r w:rsidRPr="003F62E1">
        <w:rPr>
          <w:lang w:val="cs-CZ"/>
        </w:rPr>
        <w:t>ta. Společnost CBRE poskytuje širokou škálu integrovaných služeb od správy a</w:t>
      </w:r>
      <w:r w:rsidRPr="003F62E1">
        <w:rPr>
          <w:rFonts w:ascii="Arial" w:hAnsi="Arial" w:cs="Arial"/>
          <w:lang w:val="cs-CZ"/>
        </w:rPr>
        <w:t> </w:t>
      </w:r>
      <w:r w:rsidRPr="003F62E1">
        <w:rPr>
          <w:rFonts w:cs="Calibre"/>
          <w:lang w:val="cs-CZ"/>
        </w:rPr>
        <w:t>ú</w:t>
      </w:r>
      <w:r w:rsidRPr="003F62E1">
        <w:rPr>
          <w:lang w:val="cs-CZ"/>
        </w:rPr>
        <w:t>dr</w:t>
      </w:r>
      <w:r w:rsidRPr="003F62E1">
        <w:rPr>
          <w:rFonts w:cs="Calibre"/>
          <w:lang w:val="cs-CZ"/>
        </w:rPr>
        <w:t>ž</w:t>
      </w:r>
      <w:r w:rsidRPr="003F62E1">
        <w:rPr>
          <w:lang w:val="cs-CZ"/>
        </w:rPr>
        <w:t>by nemovitost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, obchodn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ch transakc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, projektov</w:t>
      </w:r>
      <w:r w:rsidRPr="003F62E1">
        <w:rPr>
          <w:rFonts w:cs="Calibre"/>
          <w:lang w:val="cs-CZ"/>
        </w:rPr>
        <w:t>é</w:t>
      </w:r>
      <w:r w:rsidRPr="003F62E1">
        <w:rPr>
          <w:lang w:val="cs-CZ"/>
        </w:rPr>
        <w:t>ho managementu, investi</w:t>
      </w:r>
      <w:r w:rsidRPr="003F62E1">
        <w:rPr>
          <w:rFonts w:cs="Calibre"/>
          <w:lang w:val="cs-CZ"/>
        </w:rPr>
        <w:t>č</w:t>
      </w:r>
      <w:r w:rsidRPr="003F62E1">
        <w:rPr>
          <w:lang w:val="cs-CZ"/>
        </w:rPr>
        <w:t>n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ho managementu p</w:t>
      </w:r>
      <w:r w:rsidRPr="003F62E1">
        <w:rPr>
          <w:rFonts w:cs="Calibre"/>
          <w:lang w:val="cs-CZ"/>
        </w:rPr>
        <w:t>ř</w:t>
      </w:r>
      <w:r w:rsidRPr="003F62E1">
        <w:rPr>
          <w:lang w:val="cs-CZ"/>
        </w:rPr>
        <w:t>es oce</w:t>
      </w:r>
      <w:r w:rsidRPr="003F62E1">
        <w:rPr>
          <w:rFonts w:cs="Calibre"/>
          <w:lang w:val="cs-CZ"/>
        </w:rPr>
        <w:t>ň</w:t>
      </w:r>
      <w:r w:rsidRPr="003F62E1">
        <w:rPr>
          <w:lang w:val="cs-CZ"/>
        </w:rPr>
        <w:t>ov</w:t>
      </w:r>
      <w:r w:rsidRPr="003F62E1">
        <w:rPr>
          <w:rFonts w:cs="Calibre"/>
          <w:lang w:val="cs-CZ"/>
        </w:rPr>
        <w:t>á</w:t>
      </w:r>
      <w:r w:rsidRPr="003F62E1">
        <w:rPr>
          <w:lang w:val="cs-CZ"/>
        </w:rPr>
        <w:t>n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 xml:space="preserve"> nemovitost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, pron</w:t>
      </w:r>
      <w:r w:rsidRPr="003F62E1">
        <w:rPr>
          <w:rFonts w:cs="Calibre"/>
          <w:lang w:val="cs-CZ"/>
        </w:rPr>
        <w:t>á</w:t>
      </w:r>
      <w:r w:rsidRPr="003F62E1">
        <w:rPr>
          <w:lang w:val="cs-CZ"/>
        </w:rPr>
        <w:t>jmu a prodeje nemovitost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, strategick</w:t>
      </w:r>
      <w:r w:rsidRPr="003F62E1">
        <w:rPr>
          <w:rFonts w:cs="Calibre"/>
          <w:lang w:val="cs-CZ"/>
        </w:rPr>
        <w:t>é</w:t>
      </w:r>
      <w:r w:rsidRPr="003F62E1">
        <w:rPr>
          <w:lang w:val="cs-CZ"/>
        </w:rPr>
        <w:t>ho poradenstv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 xml:space="preserve"> a</w:t>
      </w:r>
      <w:r w:rsidRPr="003F62E1">
        <w:rPr>
          <w:rFonts w:cs="Calibre"/>
          <w:lang w:val="cs-CZ"/>
        </w:rPr>
        <w:t>ž</w:t>
      </w:r>
      <w:r w:rsidRPr="003F62E1"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 w:rsidRPr="003F62E1">
        <w:rPr>
          <w:vertAlign w:val="superscript"/>
          <w:lang w:val="cs-CZ"/>
        </w:rPr>
        <w:t>2</w:t>
      </w:r>
      <w:r w:rsidRPr="003F62E1">
        <w:rPr>
          <w:lang w:val="cs-CZ"/>
        </w:rPr>
        <w:t>. Pro</w:t>
      </w:r>
      <w:r w:rsidRPr="003F62E1">
        <w:rPr>
          <w:rFonts w:ascii="Arial" w:hAnsi="Arial" w:cs="Arial"/>
          <w:lang w:val="cs-CZ"/>
        </w:rPr>
        <w:t> </w:t>
      </w:r>
      <w:r w:rsidRPr="003F62E1">
        <w:rPr>
          <w:lang w:val="cs-CZ"/>
        </w:rPr>
        <w:t>v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>ce informac</w:t>
      </w:r>
      <w:r w:rsidRPr="003F62E1">
        <w:rPr>
          <w:rFonts w:cs="Calibre"/>
          <w:lang w:val="cs-CZ"/>
        </w:rPr>
        <w:t>í</w:t>
      </w:r>
      <w:r w:rsidRPr="003F62E1">
        <w:rPr>
          <w:lang w:val="cs-CZ"/>
        </w:rPr>
        <w:t xml:space="preserve"> nav</w:t>
      </w:r>
      <w:r w:rsidRPr="003F62E1">
        <w:rPr>
          <w:rFonts w:cs="Calibre"/>
          <w:lang w:val="cs-CZ"/>
        </w:rPr>
        <w:t>š</w:t>
      </w:r>
      <w:r w:rsidRPr="003F62E1">
        <w:rPr>
          <w:lang w:val="cs-CZ"/>
        </w:rPr>
        <w:t>tivte internetov</w:t>
      </w:r>
      <w:r w:rsidRPr="003F62E1">
        <w:rPr>
          <w:rFonts w:cs="Calibre"/>
          <w:lang w:val="cs-CZ"/>
        </w:rPr>
        <w:t>é</w:t>
      </w:r>
      <w:r w:rsidRPr="003F62E1">
        <w:rPr>
          <w:lang w:val="cs-CZ"/>
        </w:rPr>
        <w:t xml:space="preserve"> str</w:t>
      </w:r>
      <w:r w:rsidRPr="003F62E1">
        <w:rPr>
          <w:rFonts w:cs="Calibre"/>
          <w:lang w:val="cs-CZ"/>
        </w:rPr>
        <w:t>á</w:t>
      </w:r>
      <w:r w:rsidRPr="003F62E1">
        <w:rPr>
          <w:lang w:val="cs-CZ"/>
        </w:rPr>
        <w:t>nky spole</w:t>
      </w:r>
      <w:r w:rsidRPr="003F62E1">
        <w:rPr>
          <w:rFonts w:cs="Calibre"/>
          <w:lang w:val="cs-CZ"/>
        </w:rPr>
        <w:t>č</w:t>
      </w:r>
      <w:r w:rsidRPr="003F62E1">
        <w:rPr>
          <w:lang w:val="cs-CZ"/>
        </w:rPr>
        <w:t xml:space="preserve">nosti na </w:t>
      </w:r>
      <w:hyperlink r:id="rId18" w:history="1">
        <w:r w:rsidRPr="003F62E1">
          <w:rPr>
            <w:rStyle w:val="Hypertextovodkaz"/>
            <w:lang w:val="cs-CZ"/>
          </w:rPr>
          <w:t>www.cbre.cz</w:t>
        </w:r>
      </w:hyperlink>
      <w:r w:rsidRPr="003F62E1">
        <w:rPr>
          <w:lang w:val="cs-CZ"/>
        </w:rPr>
        <w:t>.</w:t>
      </w:r>
    </w:p>
    <w:p w14:paraId="6A027E0E" w14:textId="6A3200F6" w:rsidR="00A90A3A" w:rsidRPr="003F62E1" w:rsidRDefault="00A90A3A" w:rsidP="00941EC4">
      <w:pPr>
        <w:pStyle w:val="Boilerplate"/>
        <w:jc w:val="both"/>
        <w:rPr>
          <w:rFonts w:ascii="Futura Lt BT Light" w:hAnsi="Futura Lt BT Light"/>
          <w:lang w:val="cs-CZ"/>
        </w:rPr>
      </w:pPr>
    </w:p>
    <w:p w14:paraId="38D72BD3" w14:textId="77777777" w:rsidR="003F62E1" w:rsidRPr="003F62E1" w:rsidRDefault="003F62E1" w:rsidP="00941EC4">
      <w:pPr>
        <w:pStyle w:val="Boilerplate"/>
        <w:jc w:val="both"/>
        <w:rPr>
          <w:rFonts w:ascii="Futura Lt BT Light" w:hAnsi="Futura Lt BT Light"/>
          <w:lang w:val="cs-CZ"/>
        </w:rPr>
      </w:pPr>
    </w:p>
    <w:sectPr w:rsidR="003F62E1" w:rsidRPr="003F62E1" w:rsidSect="00E01C37">
      <w:headerReference w:type="default" r:id="rId19"/>
      <w:headerReference w:type="first" r:id="rId20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6C7D" w14:textId="77777777" w:rsidR="00467277" w:rsidRDefault="00467277" w:rsidP="00C63036">
      <w:r>
        <w:separator/>
      </w:r>
    </w:p>
  </w:endnote>
  <w:endnote w:type="continuationSeparator" w:id="0">
    <w:p w14:paraId="1DCFAD22" w14:textId="77777777" w:rsidR="00467277" w:rsidRDefault="00467277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75C9D" w14:textId="77777777" w:rsidR="00467277" w:rsidRDefault="00467277" w:rsidP="00C63036">
      <w:r>
        <w:separator/>
      </w:r>
    </w:p>
  </w:footnote>
  <w:footnote w:type="continuationSeparator" w:id="0">
    <w:p w14:paraId="3F71B1BE" w14:textId="77777777" w:rsidR="00467277" w:rsidRDefault="00467277" w:rsidP="00C63036">
      <w:r>
        <w:continuationSeparator/>
      </w:r>
    </w:p>
  </w:footnote>
  <w:footnote w:id="1">
    <w:p w14:paraId="0556849C" w14:textId="49B99223" w:rsidR="0029287C" w:rsidRPr="0029287C" w:rsidRDefault="0029287C">
      <w:pPr>
        <w:pStyle w:val="Textpoznpodarou"/>
        <w:rPr>
          <w:lang w:val="cs-CZ"/>
        </w:rPr>
      </w:pPr>
      <w:r w:rsidRPr="0029287C">
        <w:rPr>
          <w:rStyle w:val="Znakapoznpodarou"/>
          <w:lang w:val="cs-CZ"/>
        </w:rPr>
        <w:footnoteRef/>
      </w:r>
      <w:r w:rsidRPr="0029287C">
        <w:rPr>
          <w:lang w:val="cs-CZ"/>
        </w:rPr>
        <w:t xml:space="preserve"> Pokud nezohledňujeme zcela výjimečnou transakci na českém </w:t>
      </w:r>
      <w:r w:rsidR="00DF34F4">
        <w:rPr>
          <w:lang w:val="cs-CZ"/>
        </w:rPr>
        <w:t xml:space="preserve">realitním </w:t>
      </w:r>
      <w:r w:rsidRPr="0029287C">
        <w:rPr>
          <w:lang w:val="cs-CZ"/>
        </w:rPr>
        <w:t>trhu, tj. prodej r</w:t>
      </w:r>
      <w:r w:rsidR="00DF34F4">
        <w:rPr>
          <w:lang w:val="cs-CZ"/>
        </w:rPr>
        <w:t xml:space="preserve">ezidenčního portfolia Residomo </w:t>
      </w:r>
      <w:r w:rsidRPr="0029287C">
        <w:rPr>
          <w:lang w:val="cs-CZ"/>
        </w:rPr>
        <w:t>š</w:t>
      </w:r>
      <w:r w:rsidR="00DF34F4">
        <w:rPr>
          <w:lang w:val="cs-CZ"/>
        </w:rPr>
        <w:t>védské</w:t>
      </w:r>
      <w:r w:rsidRPr="0029287C">
        <w:rPr>
          <w:lang w:val="cs-CZ"/>
        </w:rPr>
        <w:t xml:space="preserve"> společnost</w:t>
      </w:r>
      <w:r w:rsidR="00DF34F4">
        <w:rPr>
          <w:lang w:val="cs-CZ"/>
        </w:rPr>
        <w:t>i</w:t>
      </w:r>
      <w:r w:rsidRPr="0029287C">
        <w:rPr>
          <w:lang w:val="cs-CZ"/>
        </w:rPr>
        <w:t xml:space="preserve"> Heimstaden Bostad. Tato jediná transakce tvořila téměř polovinu investičního objemu v roce 2020</w:t>
      </w:r>
      <w:r>
        <w:rPr>
          <w:lang w:val="cs-CZ"/>
        </w:rPr>
        <w:t xml:space="preserve">, </w:t>
      </w:r>
      <w:r w:rsidRPr="0029287C">
        <w:rPr>
          <w:lang w:val="cs-CZ"/>
        </w:rPr>
        <w:t>a</w:t>
      </w:r>
      <w:r w:rsidR="003B3945">
        <w:rPr>
          <w:lang w:val="cs-CZ"/>
        </w:rPr>
        <w:t> </w:t>
      </w:r>
      <w:r w:rsidRPr="0029287C">
        <w:rPr>
          <w:lang w:val="cs-CZ"/>
        </w:rPr>
        <w:t>tudíž významně ovlivnila statistiky.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E30CD4" w:rsidRDefault="00E30CD4" w:rsidP="0094537E">
    <w:pPr>
      <w:pStyle w:val="Zhlav"/>
      <w:jc w:val="right"/>
    </w:pPr>
    <w:r w:rsidRPr="0094537E">
      <w:rPr>
        <w:rFonts w:ascii="Calibre" w:hAnsi="Calibre"/>
        <w:color w:val="003D30" w:themeColor="accent6"/>
        <w:sz w:val="16"/>
      </w:rPr>
      <w:t xml:space="preserve">CBRE </w:t>
    </w:r>
    <w:r w:rsidR="00D3006F">
      <w:rPr>
        <w:rFonts w:ascii="Calibre" w:hAnsi="Calibre"/>
        <w:color w:val="003D30" w:themeColor="accent6"/>
        <w:sz w:val="16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89AB0F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E30CD4" w:rsidRPr="007B0794" w:rsidRDefault="00336BC6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</w:pPr>
                          <w:r w:rsidRPr="007B0794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</w:t>
                          </w:r>
                          <w:r w:rsidR="00BA3ACA" w:rsidRPr="007B0794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va</w:t>
                          </w:r>
                          <w:r w:rsidR="00E30CD4" w:rsidRPr="007B0794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5F1630B1" w14:textId="56BB85C1" w:rsidR="00E30CD4" w:rsidRPr="007B0794" w:rsidRDefault="00336BC6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</w:pPr>
                    <w:r w:rsidRPr="007B0794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</w:t>
                    </w:r>
                    <w:r w:rsidR="00BA3ACA" w:rsidRPr="007B0794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va</w:t>
                    </w:r>
                    <w:r w:rsidR="00E30CD4" w:rsidRPr="007B0794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 xml:space="preserve"> </w:t>
                    </w:r>
                    <w:proofErr w:type="spellStart"/>
                    <w:r w:rsidR="00E30CD4" w:rsidRPr="007B0794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03E"/>
    <w:multiLevelType w:val="hybridMultilevel"/>
    <w:tmpl w:val="4A1C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7B66"/>
    <w:multiLevelType w:val="hybridMultilevel"/>
    <w:tmpl w:val="B3A0B09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954551C"/>
    <w:multiLevelType w:val="hybridMultilevel"/>
    <w:tmpl w:val="06CE643E"/>
    <w:lvl w:ilvl="0" w:tplc="40EC29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1F6978"/>
    <w:multiLevelType w:val="hybridMultilevel"/>
    <w:tmpl w:val="C5943F1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0326C"/>
    <w:rsid w:val="000057AA"/>
    <w:rsid w:val="00010983"/>
    <w:rsid w:val="00015C6C"/>
    <w:rsid w:val="00024C18"/>
    <w:rsid w:val="00064B63"/>
    <w:rsid w:val="0008597C"/>
    <w:rsid w:val="000859AC"/>
    <w:rsid w:val="000A0E03"/>
    <w:rsid w:val="000A542D"/>
    <w:rsid w:val="000A5858"/>
    <w:rsid w:val="000A7DCB"/>
    <w:rsid w:val="000B3AB9"/>
    <w:rsid w:val="000B4266"/>
    <w:rsid w:val="000C3FA2"/>
    <w:rsid w:val="000D1688"/>
    <w:rsid w:val="000E1D2B"/>
    <w:rsid w:val="000E3EC9"/>
    <w:rsid w:val="0010363B"/>
    <w:rsid w:val="00114D33"/>
    <w:rsid w:val="00116632"/>
    <w:rsid w:val="00132311"/>
    <w:rsid w:val="00140E0A"/>
    <w:rsid w:val="00185B37"/>
    <w:rsid w:val="001A366E"/>
    <w:rsid w:val="001F26CF"/>
    <w:rsid w:val="00210ECA"/>
    <w:rsid w:val="00214F25"/>
    <w:rsid w:val="00225303"/>
    <w:rsid w:val="002353B0"/>
    <w:rsid w:val="00240848"/>
    <w:rsid w:val="00244FBD"/>
    <w:rsid w:val="002538E1"/>
    <w:rsid w:val="00262BA0"/>
    <w:rsid w:val="0029287C"/>
    <w:rsid w:val="002958C3"/>
    <w:rsid w:val="002D7D8F"/>
    <w:rsid w:val="002E3816"/>
    <w:rsid w:val="002E3D27"/>
    <w:rsid w:val="002E3DC5"/>
    <w:rsid w:val="002F4C2F"/>
    <w:rsid w:val="00303571"/>
    <w:rsid w:val="0030757F"/>
    <w:rsid w:val="00334059"/>
    <w:rsid w:val="00336BC6"/>
    <w:rsid w:val="00361A38"/>
    <w:rsid w:val="00364ACC"/>
    <w:rsid w:val="003900B4"/>
    <w:rsid w:val="003B05C5"/>
    <w:rsid w:val="003B0B9B"/>
    <w:rsid w:val="003B3945"/>
    <w:rsid w:val="003B44F1"/>
    <w:rsid w:val="003B5F4A"/>
    <w:rsid w:val="003B6EE0"/>
    <w:rsid w:val="003D27D9"/>
    <w:rsid w:val="003E3B0C"/>
    <w:rsid w:val="003F62E1"/>
    <w:rsid w:val="00406E34"/>
    <w:rsid w:val="004307A0"/>
    <w:rsid w:val="00467277"/>
    <w:rsid w:val="00470814"/>
    <w:rsid w:val="00474868"/>
    <w:rsid w:val="004853F5"/>
    <w:rsid w:val="004905C2"/>
    <w:rsid w:val="004A0637"/>
    <w:rsid w:val="004A4270"/>
    <w:rsid w:val="004A57EB"/>
    <w:rsid w:val="004B7189"/>
    <w:rsid w:val="004C4C0A"/>
    <w:rsid w:val="004D2E7A"/>
    <w:rsid w:val="005015CA"/>
    <w:rsid w:val="00505214"/>
    <w:rsid w:val="00527D0C"/>
    <w:rsid w:val="00530440"/>
    <w:rsid w:val="005317C5"/>
    <w:rsid w:val="005373F9"/>
    <w:rsid w:val="00543182"/>
    <w:rsid w:val="0054484D"/>
    <w:rsid w:val="0054772F"/>
    <w:rsid w:val="00550A37"/>
    <w:rsid w:val="00550BED"/>
    <w:rsid w:val="00552462"/>
    <w:rsid w:val="00554FEE"/>
    <w:rsid w:val="00575D00"/>
    <w:rsid w:val="00581502"/>
    <w:rsid w:val="0059177C"/>
    <w:rsid w:val="00593901"/>
    <w:rsid w:val="00594584"/>
    <w:rsid w:val="005C1891"/>
    <w:rsid w:val="005C1EFF"/>
    <w:rsid w:val="005E7E7D"/>
    <w:rsid w:val="005F0072"/>
    <w:rsid w:val="005F7F99"/>
    <w:rsid w:val="00601627"/>
    <w:rsid w:val="00605D70"/>
    <w:rsid w:val="00607C53"/>
    <w:rsid w:val="00615982"/>
    <w:rsid w:val="0063267C"/>
    <w:rsid w:val="0063396D"/>
    <w:rsid w:val="00651320"/>
    <w:rsid w:val="006738F2"/>
    <w:rsid w:val="00677691"/>
    <w:rsid w:val="006832FD"/>
    <w:rsid w:val="00683928"/>
    <w:rsid w:val="00685808"/>
    <w:rsid w:val="00690DBA"/>
    <w:rsid w:val="006A0EEA"/>
    <w:rsid w:val="006A7B00"/>
    <w:rsid w:val="006E2DE9"/>
    <w:rsid w:val="006E47D4"/>
    <w:rsid w:val="006E6ECF"/>
    <w:rsid w:val="00712B0D"/>
    <w:rsid w:val="0071426F"/>
    <w:rsid w:val="00722C2A"/>
    <w:rsid w:val="00734EDB"/>
    <w:rsid w:val="00736F66"/>
    <w:rsid w:val="00742D8F"/>
    <w:rsid w:val="00744B47"/>
    <w:rsid w:val="007467A9"/>
    <w:rsid w:val="00772415"/>
    <w:rsid w:val="00792781"/>
    <w:rsid w:val="007A29ED"/>
    <w:rsid w:val="007A7D89"/>
    <w:rsid w:val="007B0794"/>
    <w:rsid w:val="007C1420"/>
    <w:rsid w:val="007E236C"/>
    <w:rsid w:val="007F113B"/>
    <w:rsid w:val="007F53DE"/>
    <w:rsid w:val="00803CE7"/>
    <w:rsid w:val="008131B6"/>
    <w:rsid w:val="00816636"/>
    <w:rsid w:val="00817222"/>
    <w:rsid w:val="00831075"/>
    <w:rsid w:val="008638A6"/>
    <w:rsid w:val="00872461"/>
    <w:rsid w:val="00874C63"/>
    <w:rsid w:val="008A069A"/>
    <w:rsid w:val="008E2609"/>
    <w:rsid w:val="008F1D24"/>
    <w:rsid w:val="008F4915"/>
    <w:rsid w:val="008F4E12"/>
    <w:rsid w:val="0091184E"/>
    <w:rsid w:val="00917DDC"/>
    <w:rsid w:val="009219A2"/>
    <w:rsid w:val="00926B4E"/>
    <w:rsid w:val="00941EC4"/>
    <w:rsid w:val="0094537E"/>
    <w:rsid w:val="00950864"/>
    <w:rsid w:val="00957AC9"/>
    <w:rsid w:val="009654AD"/>
    <w:rsid w:val="00971C51"/>
    <w:rsid w:val="009A13C8"/>
    <w:rsid w:val="009A5B37"/>
    <w:rsid w:val="009B0DCC"/>
    <w:rsid w:val="009B3A8E"/>
    <w:rsid w:val="009C7CD2"/>
    <w:rsid w:val="009D68A2"/>
    <w:rsid w:val="009E752B"/>
    <w:rsid w:val="009E7B7C"/>
    <w:rsid w:val="00A0759F"/>
    <w:rsid w:val="00A15C2E"/>
    <w:rsid w:val="00A25D92"/>
    <w:rsid w:val="00A26BF0"/>
    <w:rsid w:val="00A27A46"/>
    <w:rsid w:val="00A34561"/>
    <w:rsid w:val="00A52BF2"/>
    <w:rsid w:val="00A67B95"/>
    <w:rsid w:val="00A71B8E"/>
    <w:rsid w:val="00A77CB6"/>
    <w:rsid w:val="00A8073E"/>
    <w:rsid w:val="00A90A3A"/>
    <w:rsid w:val="00A94761"/>
    <w:rsid w:val="00A9707D"/>
    <w:rsid w:val="00AA247D"/>
    <w:rsid w:val="00AA2636"/>
    <w:rsid w:val="00AA327C"/>
    <w:rsid w:val="00AA5750"/>
    <w:rsid w:val="00AB3BA3"/>
    <w:rsid w:val="00AB59F3"/>
    <w:rsid w:val="00AC5ED5"/>
    <w:rsid w:val="00AD762C"/>
    <w:rsid w:val="00AD7AD2"/>
    <w:rsid w:val="00AE0B16"/>
    <w:rsid w:val="00AF1BE7"/>
    <w:rsid w:val="00AF5D2C"/>
    <w:rsid w:val="00B01DC5"/>
    <w:rsid w:val="00B0212B"/>
    <w:rsid w:val="00B42347"/>
    <w:rsid w:val="00B45298"/>
    <w:rsid w:val="00B51B95"/>
    <w:rsid w:val="00B627CE"/>
    <w:rsid w:val="00B67204"/>
    <w:rsid w:val="00B766B4"/>
    <w:rsid w:val="00B8684C"/>
    <w:rsid w:val="00B90463"/>
    <w:rsid w:val="00BA1D0C"/>
    <w:rsid w:val="00BA3ACA"/>
    <w:rsid w:val="00BB0E9C"/>
    <w:rsid w:val="00BC4CF9"/>
    <w:rsid w:val="00BE7B6E"/>
    <w:rsid w:val="00C13FEA"/>
    <w:rsid w:val="00C23567"/>
    <w:rsid w:val="00C239F4"/>
    <w:rsid w:val="00C415C6"/>
    <w:rsid w:val="00C47845"/>
    <w:rsid w:val="00C5092C"/>
    <w:rsid w:val="00C63036"/>
    <w:rsid w:val="00C71354"/>
    <w:rsid w:val="00C73CA8"/>
    <w:rsid w:val="00C94936"/>
    <w:rsid w:val="00CC0210"/>
    <w:rsid w:val="00CE66CF"/>
    <w:rsid w:val="00CE743A"/>
    <w:rsid w:val="00CF070D"/>
    <w:rsid w:val="00D009B9"/>
    <w:rsid w:val="00D15FA3"/>
    <w:rsid w:val="00D2430E"/>
    <w:rsid w:val="00D3006F"/>
    <w:rsid w:val="00D3587D"/>
    <w:rsid w:val="00D70685"/>
    <w:rsid w:val="00D73BF7"/>
    <w:rsid w:val="00D76255"/>
    <w:rsid w:val="00D82370"/>
    <w:rsid w:val="00D8484D"/>
    <w:rsid w:val="00DA5105"/>
    <w:rsid w:val="00DA5E30"/>
    <w:rsid w:val="00DC0226"/>
    <w:rsid w:val="00DC5363"/>
    <w:rsid w:val="00DC567A"/>
    <w:rsid w:val="00DF34F4"/>
    <w:rsid w:val="00E01C37"/>
    <w:rsid w:val="00E02087"/>
    <w:rsid w:val="00E05F16"/>
    <w:rsid w:val="00E10A7B"/>
    <w:rsid w:val="00E11D59"/>
    <w:rsid w:val="00E3038B"/>
    <w:rsid w:val="00E30CD4"/>
    <w:rsid w:val="00E53CA1"/>
    <w:rsid w:val="00E64C47"/>
    <w:rsid w:val="00E81AD2"/>
    <w:rsid w:val="00E9138A"/>
    <w:rsid w:val="00EB3A75"/>
    <w:rsid w:val="00EC06B9"/>
    <w:rsid w:val="00ED1394"/>
    <w:rsid w:val="00ED5C48"/>
    <w:rsid w:val="00EE165A"/>
    <w:rsid w:val="00EE67A5"/>
    <w:rsid w:val="00F0254C"/>
    <w:rsid w:val="00F02671"/>
    <w:rsid w:val="00F069A9"/>
    <w:rsid w:val="00F07545"/>
    <w:rsid w:val="00F15833"/>
    <w:rsid w:val="00F164B5"/>
    <w:rsid w:val="00F27CD2"/>
    <w:rsid w:val="00F373CC"/>
    <w:rsid w:val="00F37E43"/>
    <w:rsid w:val="00F40950"/>
    <w:rsid w:val="00F422AA"/>
    <w:rsid w:val="00F42C24"/>
    <w:rsid w:val="00F51DB7"/>
    <w:rsid w:val="00F52687"/>
    <w:rsid w:val="00F57D6B"/>
    <w:rsid w:val="00F60134"/>
    <w:rsid w:val="00F610D4"/>
    <w:rsid w:val="00F62E08"/>
    <w:rsid w:val="00F81642"/>
    <w:rsid w:val="00F84852"/>
    <w:rsid w:val="00FA546F"/>
    <w:rsid w:val="00FB1853"/>
    <w:rsid w:val="00FB548F"/>
    <w:rsid w:val="00FC2D5B"/>
    <w:rsid w:val="00FC6E1E"/>
    <w:rsid w:val="00FF3929"/>
    <w:rsid w:val="04357A95"/>
    <w:rsid w:val="048F3AEA"/>
    <w:rsid w:val="07AA95FE"/>
    <w:rsid w:val="0C293281"/>
    <w:rsid w:val="1038B00E"/>
    <w:rsid w:val="155504DB"/>
    <w:rsid w:val="15731C3A"/>
    <w:rsid w:val="160490ED"/>
    <w:rsid w:val="1A5A2708"/>
    <w:rsid w:val="1B0A52DC"/>
    <w:rsid w:val="1FE8ADCE"/>
    <w:rsid w:val="23893265"/>
    <w:rsid w:val="2455B1E1"/>
    <w:rsid w:val="285CA388"/>
    <w:rsid w:val="2A4B3B94"/>
    <w:rsid w:val="2CB504BF"/>
    <w:rsid w:val="312C02A2"/>
    <w:rsid w:val="34A11E0B"/>
    <w:rsid w:val="3A6E772A"/>
    <w:rsid w:val="3F29FEFF"/>
    <w:rsid w:val="42793442"/>
    <w:rsid w:val="433FF9B3"/>
    <w:rsid w:val="441504A3"/>
    <w:rsid w:val="529875D5"/>
    <w:rsid w:val="55CEE654"/>
    <w:rsid w:val="573EF287"/>
    <w:rsid w:val="57AED381"/>
    <w:rsid w:val="58FF0C39"/>
    <w:rsid w:val="5DD9F839"/>
    <w:rsid w:val="78D3806E"/>
    <w:rsid w:val="7ABB0654"/>
    <w:rsid w:val="7C0B2130"/>
    <w:rsid w:val="7C4766A4"/>
    <w:rsid w:val="7E8DA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table" w:styleId="Mkatabulky">
    <w:name w:val="Table Grid"/>
    <w:basedOn w:val="Normlntabulka"/>
    <w:uiPriority w:val="39"/>
    <w:rsid w:val="00CE66CF"/>
    <w:pPr>
      <w:spacing w:after="0" w:line="240" w:lineRule="auto"/>
    </w:pPr>
    <w:rPr>
      <w:rFonts w:eastAsiaTheme="minorHAnsi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A57EB"/>
    <w:pPr>
      <w:spacing w:before="100" w:beforeAutospacing="1" w:after="100" w:afterAutospacing="1"/>
    </w:pPr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4D2E7A"/>
    <w:pPr>
      <w:ind w:left="720"/>
      <w:contextualSpacing/>
    </w:pPr>
  </w:style>
  <w:style w:type="paragraph" w:styleId="Revize">
    <w:name w:val="Revision"/>
    <w:hidden/>
    <w:uiPriority w:val="99"/>
    <w:semiHidden/>
    <w:rsid w:val="00F6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287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287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92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" TargetMode="External"/><Relationship Id="rId18" Type="http://schemas.openxmlformats.org/officeDocument/2006/relationships/hyperlink" Target="http://www.cbre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yperlink" Target="https://www.instagram.com/cbre_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pages/CBRE-News/626929170775263?ref=ts&amp;fref=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nata.mrazova@cbre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0C768275-317A-43B3-AD89-C7AD8BAB7CA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8c12310-cec0-45af-89e4-4278154c9cc2"/>
    <ds:schemaRef ds:uri="http://purl.org/dc/dcmitype/"/>
    <ds:schemaRef ds:uri="http://schemas.microsoft.com/office/infopath/2007/PartnerControls"/>
    <ds:schemaRef ds:uri="d603c823-c8e5-4558-a031-867f95ca91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A7504D-D471-48DC-9C2E-14152DAC7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9C3BAE-8C90-464B-8E11-F2BEBB33AB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0016C-78B0-4B4D-8F54-CC34FCA0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6</TotalTime>
  <Pages>3</Pages>
  <Words>1057</Words>
  <Characters>6237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Kamila Čadková</cp:lastModifiedBy>
  <cp:revision>3</cp:revision>
  <cp:lastPrinted>2022-08-29T06:42:00Z</cp:lastPrinted>
  <dcterms:created xsi:type="dcterms:W3CDTF">2022-09-07T12:43:00Z</dcterms:created>
  <dcterms:modified xsi:type="dcterms:W3CDTF">2022-09-07T13:01:00Z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